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tblLook w:val="04A0" w:firstRow="1" w:lastRow="0" w:firstColumn="1" w:lastColumn="0" w:noHBand="0" w:noVBand="1"/>
      </w:tblPr>
      <w:tblGrid>
        <w:gridCol w:w="876"/>
        <w:gridCol w:w="4372"/>
        <w:gridCol w:w="2585"/>
        <w:gridCol w:w="1228"/>
      </w:tblGrid>
      <w:tr w:rsidR="00D226D6" w:rsidRPr="00D720F5" w14:paraId="248CF75B" w14:textId="77777777" w:rsidTr="0028061F">
        <w:tc>
          <w:tcPr>
            <w:tcW w:w="886" w:type="dxa"/>
            <w:vAlign w:val="center"/>
          </w:tcPr>
          <w:p w14:paraId="518C8459" w14:textId="77777777" w:rsidR="00D226D6" w:rsidRPr="00011EA5" w:rsidRDefault="00D226D6" w:rsidP="0028061F">
            <w:pPr>
              <w:jc w:val="center"/>
              <w:rPr>
                <w:rFonts w:ascii="Times New Roman" w:hAnsi="Times New Roman" w:cs="Times New Roman"/>
                <w:b/>
                <w:sz w:val="28"/>
                <w:szCs w:val="28"/>
              </w:rPr>
            </w:pPr>
            <w:r w:rsidRPr="00011EA5">
              <w:rPr>
                <w:rFonts w:ascii="Times New Roman" w:hAnsi="Times New Roman" w:cs="Times New Roman"/>
                <w:b/>
                <w:sz w:val="28"/>
                <w:szCs w:val="28"/>
              </w:rPr>
              <w:t>STT</w:t>
            </w:r>
          </w:p>
        </w:tc>
        <w:tc>
          <w:tcPr>
            <w:tcW w:w="4604" w:type="dxa"/>
            <w:vAlign w:val="center"/>
          </w:tcPr>
          <w:p w14:paraId="16BE26B9" w14:textId="77777777" w:rsidR="00D226D6" w:rsidRPr="00011EA5" w:rsidRDefault="00D226D6" w:rsidP="0028061F">
            <w:pPr>
              <w:jc w:val="center"/>
              <w:rPr>
                <w:rFonts w:ascii="Times New Roman" w:hAnsi="Times New Roman" w:cs="Times New Roman"/>
                <w:b/>
                <w:sz w:val="28"/>
                <w:szCs w:val="28"/>
              </w:rPr>
            </w:pPr>
            <w:r w:rsidRPr="00011EA5">
              <w:rPr>
                <w:rFonts w:ascii="Times New Roman" w:hAnsi="Times New Roman" w:cs="Times New Roman"/>
                <w:b/>
                <w:sz w:val="28"/>
                <w:szCs w:val="28"/>
              </w:rPr>
              <w:t>TÊN THAM LUẬN</w:t>
            </w:r>
            <w:bookmarkStart w:id="0" w:name="_GoBack"/>
            <w:bookmarkEnd w:id="0"/>
          </w:p>
        </w:tc>
        <w:tc>
          <w:tcPr>
            <w:tcW w:w="2677" w:type="dxa"/>
            <w:vAlign w:val="center"/>
          </w:tcPr>
          <w:p w14:paraId="17E03943" w14:textId="77777777" w:rsidR="00D226D6" w:rsidRPr="00011EA5" w:rsidRDefault="00D226D6" w:rsidP="0028061F">
            <w:pPr>
              <w:jc w:val="center"/>
              <w:rPr>
                <w:rFonts w:ascii="Times New Roman" w:hAnsi="Times New Roman" w:cs="Times New Roman"/>
                <w:b/>
                <w:sz w:val="28"/>
                <w:szCs w:val="28"/>
              </w:rPr>
            </w:pPr>
            <w:r w:rsidRPr="00011EA5">
              <w:rPr>
                <w:rFonts w:ascii="Times New Roman" w:hAnsi="Times New Roman" w:cs="Times New Roman"/>
                <w:b/>
                <w:sz w:val="28"/>
                <w:szCs w:val="28"/>
              </w:rPr>
              <w:t>ĐẠI BIỂU THAM LUẬN</w:t>
            </w:r>
          </w:p>
        </w:tc>
        <w:tc>
          <w:tcPr>
            <w:tcW w:w="1228" w:type="dxa"/>
            <w:vAlign w:val="center"/>
          </w:tcPr>
          <w:p w14:paraId="10017FB5" w14:textId="77777777" w:rsidR="00D226D6" w:rsidRPr="00011EA5" w:rsidRDefault="00D226D6" w:rsidP="0028061F">
            <w:pPr>
              <w:jc w:val="center"/>
              <w:rPr>
                <w:rFonts w:ascii="Times New Roman" w:hAnsi="Times New Roman" w:cs="Times New Roman"/>
                <w:b/>
                <w:sz w:val="28"/>
                <w:szCs w:val="28"/>
              </w:rPr>
            </w:pPr>
            <w:r w:rsidRPr="00011EA5">
              <w:rPr>
                <w:rFonts w:ascii="Times New Roman" w:hAnsi="Times New Roman" w:cs="Times New Roman"/>
                <w:b/>
                <w:sz w:val="28"/>
                <w:szCs w:val="28"/>
              </w:rPr>
              <w:t>SỐ TRANG</w:t>
            </w:r>
          </w:p>
        </w:tc>
      </w:tr>
      <w:tr w:rsidR="00D226D6" w:rsidRPr="00D720F5" w14:paraId="5ACBB05D" w14:textId="77777777" w:rsidTr="0028061F">
        <w:tc>
          <w:tcPr>
            <w:tcW w:w="886" w:type="dxa"/>
            <w:vAlign w:val="center"/>
          </w:tcPr>
          <w:p w14:paraId="4EFA252A" w14:textId="77777777" w:rsidR="00D226D6" w:rsidRPr="00D720F5" w:rsidRDefault="00D226D6" w:rsidP="0028061F">
            <w:pPr>
              <w:jc w:val="center"/>
              <w:rPr>
                <w:rFonts w:ascii="Times New Roman" w:hAnsi="Times New Roman" w:cs="Times New Roman"/>
                <w:sz w:val="28"/>
                <w:szCs w:val="28"/>
              </w:rPr>
            </w:pPr>
            <w:r>
              <w:rPr>
                <w:rFonts w:ascii="Times New Roman" w:hAnsi="Times New Roman" w:cs="Times New Roman"/>
                <w:sz w:val="28"/>
                <w:szCs w:val="28"/>
              </w:rPr>
              <w:t>1</w:t>
            </w:r>
          </w:p>
        </w:tc>
        <w:tc>
          <w:tcPr>
            <w:tcW w:w="4604" w:type="dxa"/>
            <w:vAlign w:val="center"/>
          </w:tcPr>
          <w:p w14:paraId="6D70A48E" w14:textId="77777777" w:rsidR="00D226D6" w:rsidRPr="00D720F5" w:rsidRDefault="00D226D6" w:rsidP="0028061F">
            <w:pPr>
              <w:rPr>
                <w:rFonts w:ascii="Times New Roman" w:hAnsi="Times New Roman" w:cs="Times New Roman"/>
                <w:sz w:val="28"/>
                <w:szCs w:val="28"/>
              </w:rPr>
            </w:pPr>
            <w:r w:rsidRPr="00011EA5">
              <w:rPr>
                <w:rFonts w:ascii="Times New Roman" w:eastAsia="Times New Roman" w:hAnsi="Times New Roman" w:cs="Times New Roman"/>
                <w:bCs/>
                <w:kern w:val="36"/>
                <w:sz w:val="28"/>
                <w:szCs w:val="28"/>
              </w:rPr>
              <w:t>Thực trạng pháp luật về chữ ký số, chữ ký điện tử, hợp đồng điện tử – tháo gỡ vướng mắc cho doanh nghiệp khởi nghiệp</w:t>
            </w:r>
          </w:p>
        </w:tc>
        <w:tc>
          <w:tcPr>
            <w:tcW w:w="2677" w:type="dxa"/>
            <w:vAlign w:val="center"/>
          </w:tcPr>
          <w:p w14:paraId="1565D5CC" w14:textId="77777777" w:rsidR="00D226D6" w:rsidRPr="00D720F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Nguyễn Kim Hùng</w:t>
            </w:r>
            <w:r w:rsidRPr="00D720F5">
              <w:rPr>
                <w:rFonts w:ascii="Times New Roman" w:hAnsi="Times New Roman" w:cs="Times New Roman"/>
                <w:sz w:val="28"/>
                <w:szCs w:val="28"/>
              </w:rPr>
              <w:t xml:space="preserve">, </w:t>
            </w:r>
          </w:p>
          <w:p w14:paraId="7EC7B079" w14:textId="77777777" w:rsidR="00D226D6" w:rsidRPr="00011EA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Viện trưởng Viện Khoa học quản trị DNNVV</w:t>
            </w:r>
          </w:p>
        </w:tc>
        <w:tc>
          <w:tcPr>
            <w:tcW w:w="1228" w:type="dxa"/>
            <w:vAlign w:val="center"/>
          </w:tcPr>
          <w:p w14:paraId="4DCA0918"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2</w:t>
            </w:r>
          </w:p>
        </w:tc>
      </w:tr>
      <w:tr w:rsidR="00D226D6" w:rsidRPr="00D720F5" w14:paraId="729AD15F" w14:textId="77777777" w:rsidTr="0028061F">
        <w:tc>
          <w:tcPr>
            <w:tcW w:w="886" w:type="dxa"/>
            <w:vAlign w:val="center"/>
          </w:tcPr>
          <w:p w14:paraId="5339C709" w14:textId="77777777" w:rsidR="00D226D6" w:rsidRPr="00D720F5" w:rsidRDefault="00D226D6" w:rsidP="0028061F">
            <w:pPr>
              <w:jc w:val="center"/>
              <w:rPr>
                <w:rFonts w:ascii="Times New Roman" w:hAnsi="Times New Roman" w:cs="Times New Roman"/>
                <w:sz w:val="28"/>
                <w:szCs w:val="28"/>
              </w:rPr>
            </w:pPr>
            <w:r>
              <w:rPr>
                <w:rFonts w:ascii="Times New Roman" w:hAnsi="Times New Roman" w:cs="Times New Roman"/>
                <w:sz w:val="28"/>
                <w:szCs w:val="28"/>
              </w:rPr>
              <w:t>2</w:t>
            </w:r>
          </w:p>
        </w:tc>
        <w:tc>
          <w:tcPr>
            <w:tcW w:w="4604" w:type="dxa"/>
            <w:vAlign w:val="center"/>
          </w:tcPr>
          <w:p w14:paraId="6A9589A5" w14:textId="77777777" w:rsidR="00D226D6" w:rsidRPr="00D720F5" w:rsidRDefault="00D226D6" w:rsidP="0028061F">
            <w:pPr>
              <w:rPr>
                <w:rFonts w:ascii="Times New Roman" w:hAnsi="Times New Roman" w:cs="Times New Roman"/>
                <w:sz w:val="28"/>
                <w:szCs w:val="28"/>
              </w:rPr>
            </w:pPr>
            <w:r w:rsidRPr="00011EA5">
              <w:rPr>
                <w:rFonts w:ascii="Times New Roman" w:eastAsia="Calibri" w:hAnsi="Times New Roman" w:cs="Times New Roman"/>
                <w:sz w:val="28"/>
                <w:szCs w:val="28"/>
              </w:rPr>
              <w:t>Một số khía cạnh pháp lý trong lĩnh vực luật tư khi ứng dụng trí tuệ nhân tạo</w:t>
            </w:r>
          </w:p>
        </w:tc>
        <w:tc>
          <w:tcPr>
            <w:tcW w:w="2677" w:type="dxa"/>
            <w:vAlign w:val="center"/>
          </w:tcPr>
          <w:p w14:paraId="05CE75EE" w14:textId="77777777" w:rsidR="00D226D6" w:rsidRPr="00011EA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Đại diện Đại học Luật - ĐHQGHN</w:t>
            </w:r>
          </w:p>
        </w:tc>
        <w:tc>
          <w:tcPr>
            <w:tcW w:w="1228" w:type="dxa"/>
            <w:vAlign w:val="center"/>
          </w:tcPr>
          <w:p w14:paraId="5C8EF005"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10</w:t>
            </w:r>
          </w:p>
        </w:tc>
      </w:tr>
      <w:tr w:rsidR="00D226D6" w:rsidRPr="00D720F5" w14:paraId="510B60EE" w14:textId="77777777" w:rsidTr="0028061F">
        <w:tc>
          <w:tcPr>
            <w:tcW w:w="886" w:type="dxa"/>
            <w:vAlign w:val="center"/>
          </w:tcPr>
          <w:p w14:paraId="385F1662"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3</w:t>
            </w:r>
          </w:p>
        </w:tc>
        <w:tc>
          <w:tcPr>
            <w:tcW w:w="4604" w:type="dxa"/>
            <w:vAlign w:val="center"/>
          </w:tcPr>
          <w:p w14:paraId="32EA8498" w14:textId="77777777" w:rsidR="00D226D6" w:rsidRPr="00D720F5" w:rsidRDefault="00D226D6" w:rsidP="0028061F">
            <w:pPr>
              <w:rPr>
                <w:rFonts w:ascii="Times New Roman" w:hAnsi="Times New Roman" w:cs="Times New Roman"/>
                <w:sz w:val="28"/>
                <w:szCs w:val="28"/>
              </w:rPr>
            </w:pPr>
            <w:r w:rsidRPr="00011EA5">
              <w:rPr>
                <w:rFonts w:ascii="Times New Roman" w:hAnsi="Times New Roman" w:cs="Times New Roman"/>
                <w:sz w:val="28"/>
                <w:szCs w:val="28"/>
              </w:rPr>
              <w:t>Bàn về bảo vệ dữ liệu và thông tin cá nhân từ thực tiễn và góc độ pháp lý ở Việt Nam</w:t>
            </w:r>
          </w:p>
        </w:tc>
        <w:tc>
          <w:tcPr>
            <w:tcW w:w="2677" w:type="dxa"/>
            <w:vAlign w:val="center"/>
          </w:tcPr>
          <w:p w14:paraId="69ED90A3" w14:textId="77777777" w:rsidR="00D226D6"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Luật sư Bùi Thanh Thương</w:t>
            </w:r>
          </w:p>
          <w:p w14:paraId="59D299C0" w14:textId="77777777" w:rsidR="00D226D6" w:rsidRPr="00D720F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Đoàn Luật sư Hà Nội</w:t>
            </w:r>
          </w:p>
        </w:tc>
        <w:tc>
          <w:tcPr>
            <w:tcW w:w="1228" w:type="dxa"/>
            <w:vAlign w:val="center"/>
          </w:tcPr>
          <w:p w14:paraId="7F614119"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23</w:t>
            </w:r>
          </w:p>
        </w:tc>
      </w:tr>
      <w:tr w:rsidR="00D226D6" w:rsidRPr="00D720F5" w14:paraId="06443EDC" w14:textId="77777777" w:rsidTr="0028061F">
        <w:tc>
          <w:tcPr>
            <w:tcW w:w="886" w:type="dxa"/>
            <w:vAlign w:val="center"/>
          </w:tcPr>
          <w:p w14:paraId="3C926640" w14:textId="77777777" w:rsidR="00D226D6" w:rsidRPr="00212FDA" w:rsidRDefault="00D226D6" w:rsidP="0028061F">
            <w:pPr>
              <w:jc w:val="center"/>
              <w:rPr>
                <w:rFonts w:ascii="Times New Roman" w:hAnsi="Times New Roman" w:cs="Times New Roman"/>
                <w:sz w:val="28"/>
                <w:szCs w:val="28"/>
              </w:rPr>
            </w:pPr>
            <w:r>
              <w:rPr>
                <w:rFonts w:ascii="Times New Roman" w:hAnsi="Times New Roman" w:cs="Times New Roman"/>
                <w:sz w:val="28"/>
                <w:szCs w:val="28"/>
              </w:rPr>
              <w:t>4</w:t>
            </w:r>
          </w:p>
        </w:tc>
        <w:tc>
          <w:tcPr>
            <w:tcW w:w="4604" w:type="dxa"/>
            <w:vAlign w:val="center"/>
          </w:tcPr>
          <w:p w14:paraId="57696C48" w14:textId="77777777" w:rsidR="00D226D6" w:rsidRPr="00D720F5" w:rsidRDefault="00D226D6" w:rsidP="0028061F">
            <w:pPr>
              <w:rPr>
                <w:rFonts w:ascii="Times New Roman" w:hAnsi="Times New Roman" w:cs="Times New Roman"/>
                <w:sz w:val="28"/>
                <w:szCs w:val="28"/>
              </w:rPr>
            </w:pPr>
            <w:r w:rsidRPr="00011EA5">
              <w:rPr>
                <w:rFonts w:ascii="Times New Roman" w:hAnsi="Times New Roman" w:cs="Times New Roman"/>
                <w:sz w:val="28"/>
                <w:szCs w:val="28"/>
              </w:rPr>
              <w:t>Kinh nghiệm quốc tế về áp dụng phương thức giải quyết tranh chấp trực tuyến trong lĩnh vực thương mại điện tử và bài học cho Việt Nam</w:t>
            </w:r>
          </w:p>
        </w:tc>
        <w:tc>
          <w:tcPr>
            <w:tcW w:w="2677" w:type="dxa"/>
            <w:vAlign w:val="center"/>
          </w:tcPr>
          <w:p w14:paraId="026BE77E" w14:textId="77777777" w:rsidR="00D226D6" w:rsidRPr="00011EA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ThS. Trần Hạnh Linh</w:t>
            </w:r>
          </w:p>
          <w:p w14:paraId="009C7E61" w14:textId="77777777" w:rsidR="00D226D6" w:rsidRPr="00D720F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Khoa Luật, Trường Đại học Thương mại</w:t>
            </w:r>
          </w:p>
        </w:tc>
        <w:tc>
          <w:tcPr>
            <w:tcW w:w="1228" w:type="dxa"/>
            <w:vAlign w:val="center"/>
          </w:tcPr>
          <w:p w14:paraId="0EA90C29"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32</w:t>
            </w:r>
          </w:p>
        </w:tc>
      </w:tr>
      <w:tr w:rsidR="00D226D6" w:rsidRPr="00D720F5" w14:paraId="0943FC2A" w14:textId="77777777" w:rsidTr="0028061F">
        <w:tc>
          <w:tcPr>
            <w:tcW w:w="886" w:type="dxa"/>
            <w:vAlign w:val="center"/>
          </w:tcPr>
          <w:p w14:paraId="032C2698" w14:textId="77777777" w:rsidR="00D226D6" w:rsidRPr="00212FDA" w:rsidRDefault="00D226D6" w:rsidP="0028061F">
            <w:pPr>
              <w:jc w:val="center"/>
              <w:rPr>
                <w:rFonts w:ascii="Times New Roman" w:hAnsi="Times New Roman" w:cs="Times New Roman"/>
                <w:sz w:val="28"/>
                <w:szCs w:val="28"/>
              </w:rPr>
            </w:pPr>
            <w:r>
              <w:rPr>
                <w:rFonts w:ascii="Times New Roman" w:hAnsi="Times New Roman" w:cs="Times New Roman"/>
                <w:sz w:val="28"/>
                <w:szCs w:val="28"/>
              </w:rPr>
              <w:t>5</w:t>
            </w:r>
          </w:p>
        </w:tc>
        <w:tc>
          <w:tcPr>
            <w:tcW w:w="4604" w:type="dxa"/>
            <w:vAlign w:val="center"/>
          </w:tcPr>
          <w:p w14:paraId="4FD14262" w14:textId="77777777" w:rsidR="00D226D6" w:rsidRPr="00D720F5" w:rsidRDefault="00D226D6" w:rsidP="0028061F">
            <w:pPr>
              <w:rPr>
                <w:rFonts w:ascii="Times New Roman" w:hAnsi="Times New Roman" w:cs="Times New Roman"/>
                <w:sz w:val="28"/>
                <w:szCs w:val="28"/>
              </w:rPr>
            </w:pPr>
            <w:r w:rsidRPr="00011EA5">
              <w:rPr>
                <w:rFonts w:ascii="Times New Roman" w:hAnsi="Times New Roman" w:cs="Times New Roman"/>
                <w:sz w:val="28"/>
                <w:szCs w:val="28"/>
              </w:rPr>
              <w:t>Ứng dụng hợp đồng thông minh trên nền tảng blockchain cho hoạt động kiểm toán nội bộ</w:t>
            </w:r>
          </w:p>
        </w:tc>
        <w:tc>
          <w:tcPr>
            <w:tcW w:w="2677" w:type="dxa"/>
            <w:vAlign w:val="center"/>
          </w:tcPr>
          <w:p w14:paraId="29EC793C" w14:textId="77777777" w:rsidR="00D226D6" w:rsidRPr="00011EA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TS. Đào Xuân Thuỷ</w:t>
            </w:r>
          </w:p>
          <w:p w14:paraId="6FF3C85D" w14:textId="77777777" w:rsidR="00D226D6" w:rsidRPr="00D720F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Khoa Luật, Trường ĐH Ngoại thương</w:t>
            </w:r>
          </w:p>
        </w:tc>
        <w:tc>
          <w:tcPr>
            <w:tcW w:w="1228" w:type="dxa"/>
            <w:vAlign w:val="center"/>
          </w:tcPr>
          <w:p w14:paraId="765A8241"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41</w:t>
            </w:r>
          </w:p>
        </w:tc>
      </w:tr>
      <w:tr w:rsidR="00D226D6" w:rsidRPr="00D720F5" w14:paraId="437ED785" w14:textId="77777777" w:rsidTr="0028061F">
        <w:tc>
          <w:tcPr>
            <w:tcW w:w="886" w:type="dxa"/>
            <w:vAlign w:val="center"/>
          </w:tcPr>
          <w:p w14:paraId="102D972D" w14:textId="77777777" w:rsidR="00D226D6" w:rsidRPr="00212FDA" w:rsidRDefault="00D226D6" w:rsidP="0028061F">
            <w:pPr>
              <w:jc w:val="center"/>
              <w:rPr>
                <w:rFonts w:ascii="Times New Roman" w:hAnsi="Times New Roman" w:cs="Times New Roman"/>
                <w:sz w:val="28"/>
                <w:szCs w:val="28"/>
              </w:rPr>
            </w:pPr>
            <w:r>
              <w:rPr>
                <w:rFonts w:ascii="Times New Roman" w:hAnsi="Times New Roman" w:cs="Times New Roman"/>
                <w:sz w:val="28"/>
                <w:szCs w:val="28"/>
              </w:rPr>
              <w:t>6</w:t>
            </w:r>
          </w:p>
        </w:tc>
        <w:tc>
          <w:tcPr>
            <w:tcW w:w="4604" w:type="dxa"/>
            <w:vAlign w:val="center"/>
          </w:tcPr>
          <w:p w14:paraId="400D4A80" w14:textId="77777777" w:rsidR="00D226D6" w:rsidRPr="00D720F5" w:rsidRDefault="00D226D6" w:rsidP="0028061F">
            <w:pPr>
              <w:rPr>
                <w:rFonts w:ascii="Times New Roman" w:hAnsi="Times New Roman" w:cs="Times New Roman"/>
                <w:sz w:val="28"/>
                <w:szCs w:val="28"/>
              </w:rPr>
            </w:pPr>
            <w:r w:rsidRPr="00011EA5">
              <w:rPr>
                <w:rFonts w:ascii="Times New Roman" w:hAnsi="Times New Roman" w:cs="Times New Roman"/>
                <w:sz w:val="28"/>
                <w:szCs w:val="28"/>
              </w:rPr>
              <w:t>Hành lang pháp lý cho thương mại điện tử để bảo vệ người tiêu dùng</w:t>
            </w:r>
          </w:p>
        </w:tc>
        <w:tc>
          <w:tcPr>
            <w:tcW w:w="2677" w:type="dxa"/>
            <w:vAlign w:val="center"/>
          </w:tcPr>
          <w:p w14:paraId="58EFF055"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LS.</w:t>
            </w:r>
            <w:r w:rsidRPr="00011EA5">
              <w:rPr>
                <w:rFonts w:ascii="Times New Roman" w:hAnsi="Times New Roman" w:cs="Times New Roman"/>
                <w:sz w:val="28"/>
                <w:szCs w:val="28"/>
              </w:rPr>
              <w:t xml:space="preserve"> Mai Bích Ngân,</w:t>
            </w:r>
          </w:p>
          <w:p w14:paraId="07E3D2EF" w14:textId="77777777" w:rsidR="00D226D6" w:rsidRPr="00D720F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Đoàn Luật sư TP Hà Nội</w:t>
            </w:r>
          </w:p>
        </w:tc>
        <w:tc>
          <w:tcPr>
            <w:tcW w:w="1228" w:type="dxa"/>
            <w:vAlign w:val="center"/>
          </w:tcPr>
          <w:p w14:paraId="4A1FDD6F"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61</w:t>
            </w:r>
          </w:p>
        </w:tc>
      </w:tr>
      <w:tr w:rsidR="00D226D6" w:rsidRPr="00D720F5" w14:paraId="7BACEF97" w14:textId="77777777" w:rsidTr="0028061F">
        <w:tc>
          <w:tcPr>
            <w:tcW w:w="886" w:type="dxa"/>
            <w:vAlign w:val="center"/>
          </w:tcPr>
          <w:p w14:paraId="741EEE3E" w14:textId="77777777" w:rsidR="00D226D6" w:rsidRPr="00212FDA" w:rsidRDefault="00D226D6" w:rsidP="0028061F">
            <w:pPr>
              <w:jc w:val="center"/>
              <w:rPr>
                <w:rFonts w:ascii="Times New Roman" w:hAnsi="Times New Roman" w:cs="Times New Roman"/>
                <w:sz w:val="28"/>
                <w:szCs w:val="28"/>
              </w:rPr>
            </w:pPr>
            <w:r>
              <w:rPr>
                <w:rFonts w:ascii="Times New Roman" w:hAnsi="Times New Roman" w:cs="Times New Roman"/>
                <w:sz w:val="28"/>
                <w:szCs w:val="28"/>
              </w:rPr>
              <w:t>7</w:t>
            </w:r>
          </w:p>
        </w:tc>
        <w:tc>
          <w:tcPr>
            <w:tcW w:w="4604" w:type="dxa"/>
            <w:vAlign w:val="center"/>
          </w:tcPr>
          <w:p w14:paraId="61A6B410" w14:textId="77777777" w:rsidR="00D226D6" w:rsidRPr="00D720F5" w:rsidRDefault="00D226D6" w:rsidP="0028061F">
            <w:pPr>
              <w:rPr>
                <w:rFonts w:ascii="Times New Roman" w:hAnsi="Times New Roman" w:cs="Times New Roman"/>
                <w:sz w:val="28"/>
                <w:szCs w:val="28"/>
              </w:rPr>
            </w:pPr>
            <w:r w:rsidRPr="00011EA5">
              <w:rPr>
                <w:rFonts w:ascii="Times New Roman" w:hAnsi="Times New Roman" w:cs="Times New Roman"/>
                <w:sz w:val="28"/>
                <w:szCs w:val="28"/>
              </w:rPr>
              <w:t xml:space="preserve">Thực trạng các quy định pháp luật về hợp đồng thông minh và một số giải pháp hoàn thiện </w:t>
            </w:r>
          </w:p>
        </w:tc>
        <w:tc>
          <w:tcPr>
            <w:tcW w:w="2677" w:type="dxa"/>
            <w:vAlign w:val="center"/>
          </w:tcPr>
          <w:p w14:paraId="5356A73F" w14:textId="77777777" w:rsidR="00D226D6" w:rsidRPr="00011EA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Nguyễn Phạm Thảo Linh</w:t>
            </w:r>
          </w:p>
          <w:p w14:paraId="3E5B0922" w14:textId="77777777" w:rsidR="00D226D6" w:rsidRPr="00D720F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Công ty Luật hợp danh Hùng Vương</w:t>
            </w:r>
          </w:p>
        </w:tc>
        <w:tc>
          <w:tcPr>
            <w:tcW w:w="1228" w:type="dxa"/>
            <w:vAlign w:val="center"/>
          </w:tcPr>
          <w:p w14:paraId="457A30BF"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68</w:t>
            </w:r>
          </w:p>
        </w:tc>
      </w:tr>
      <w:tr w:rsidR="00D226D6" w:rsidRPr="00D720F5" w14:paraId="04DB936A" w14:textId="77777777" w:rsidTr="0028061F">
        <w:tc>
          <w:tcPr>
            <w:tcW w:w="886" w:type="dxa"/>
            <w:vAlign w:val="center"/>
          </w:tcPr>
          <w:p w14:paraId="34707CC0" w14:textId="77777777" w:rsidR="00D226D6" w:rsidRPr="00212FDA" w:rsidRDefault="00D226D6" w:rsidP="0028061F">
            <w:pPr>
              <w:jc w:val="center"/>
              <w:rPr>
                <w:rFonts w:ascii="Times New Roman" w:hAnsi="Times New Roman" w:cs="Times New Roman"/>
                <w:sz w:val="28"/>
                <w:szCs w:val="28"/>
              </w:rPr>
            </w:pPr>
            <w:r>
              <w:rPr>
                <w:rFonts w:ascii="Times New Roman" w:hAnsi="Times New Roman" w:cs="Times New Roman"/>
                <w:sz w:val="28"/>
                <w:szCs w:val="28"/>
              </w:rPr>
              <w:t>8</w:t>
            </w:r>
          </w:p>
        </w:tc>
        <w:tc>
          <w:tcPr>
            <w:tcW w:w="4604" w:type="dxa"/>
            <w:vAlign w:val="center"/>
          </w:tcPr>
          <w:p w14:paraId="5A6EA631" w14:textId="77777777" w:rsidR="00D226D6" w:rsidRPr="00D720F5" w:rsidRDefault="00D226D6" w:rsidP="0028061F">
            <w:pPr>
              <w:rPr>
                <w:rFonts w:ascii="Times New Roman" w:hAnsi="Times New Roman" w:cs="Times New Roman"/>
                <w:sz w:val="28"/>
                <w:szCs w:val="28"/>
              </w:rPr>
            </w:pPr>
            <w:r w:rsidRPr="00011EA5">
              <w:rPr>
                <w:rFonts w:ascii="Times New Roman" w:hAnsi="Times New Roman" w:cs="Times New Roman"/>
                <w:sz w:val="28"/>
                <w:szCs w:val="28"/>
              </w:rPr>
              <w:t>Các hình thức huy động vốn phi truyền thống cho doanh nghiệp – Kiến nghị hoàn thiện pháp luật</w:t>
            </w:r>
          </w:p>
        </w:tc>
        <w:tc>
          <w:tcPr>
            <w:tcW w:w="2677" w:type="dxa"/>
            <w:vAlign w:val="center"/>
          </w:tcPr>
          <w:p w14:paraId="61EA9AD6"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LS.</w:t>
            </w:r>
            <w:r w:rsidRPr="00011EA5">
              <w:rPr>
                <w:rFonts w:ascii="Times New Roman" w:hAnsi="Times New Roman" w:cs="Times New Roman"/>
                <w:sz w:val="28"/>
                <w:szCs w:val="28"/>
              </w:rPr>
              <w:t xml:space="preserve"> Lê Văn Dương</w:t>
            </w:r>
          </w:p>
          <w:p w14:paraId="0042F94F" w14:textId="77777777" w:rsidR="00D226D6" w:rsidRPr="00D720F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Công ty Luật tư vấn quốc tế</w:t>
            </w:r>
          </w:p>
        </w:tc>
        <w:tc>
          <w:tcPr>
            <w:tcW w:w="1228" w:type="dxa"/>
            <w:vAlign w:val="center"/>
          </w:tcPr>
          <w:p w14:paraId="2462FEF4"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75</w:t>
            </w:r>
          </w:p>
        </w:tc>
      </w:tr>
      <w:tr w:rsidR="00D226D6" w:rsidRPr="00D720F5" w14:paraId="1D1D7692" w14:textId="77777777" w:rsidTr="0028061F">
        <w:tc>
          <w:tcPr>
            <w:tcW w:w="886" w:type="dxa"/>
            <w:vAlign w:val="center"/>
          </w:tcPr>
          <w:p w14:paraId="76B2F0EB" w14:textId="77777777" w:rsidR="00D226D6" w:rsidRPr="00212FDA" w:rsidRDefault="00D226D6" w:rsidP="0028061F">
            <w:pPr>
              <w:jc w:val="center"/>
              <w:rPr>
                <w:rFonts w:ascii="Times New Roman" w:hAnsi="Times New Roman" w:cs="Times New Roman"/>
                <w:sz w:val="28"/>
                <w:szCs w:val="28"/>
              </w:rPr>
            </w:pPr>
            <w:r>
              <w:rPr>
                <w:rFonts w:ascii="Times New Roman" w:hAnsi="Times New Roman" w:cs="Times New Roman"/>
                <w:sz w:val="28"/>
                <w:szCs w:val="28"/>
              </w:rPr>
              <w:t>9</w:t>
            </w:r>
          </w:p>
        </w:tc>
        <w:tc>
          <w:tcPr>
            <w:tcW w:w="4604" w:type="dxa"/>
            <w:vAlign w:val="center"/>
          </w:tcPr>
          <w:p w14:paraId="49D1560A" w14:textId="77777777" w:rsidR="00D226D6" w:rsidRPr="00D720F5" w:rsidRDefault="00D226D6" w:rsidP="0028061F">
            <w:pPr>
              <w:rPr>
                <w:rFonts w:ascii="Times New Roman" w:hAnsi="Times New Roman" w:cs="Times New Roman"/>
                <w:sz w:val="28"/>
                <w:szCs w:val="28"/>
              </w:rPr>
            </w:pPr>
            <w:r w:rsidRPr="00011EA5">
              <w:rPr>
                <w:rFonts w:ascii="Times New Roman" w:hAnsi="Times New Roman" w:cs="Times New Roman"/>
                <w:sz w:val="28"/>
                <w:szCs w:val="28"/>
              </w:rPr>
              <w:t>Khái quát pháp luật về sở hữu trí tuệ và bảo vệ quyền sở hữu trí tuệ trong thương mại điện tử trước bối cảnh hội nhập quốc tế và Cách mạng công nghiệp 4.0</w:t>
            </w:r>
          </w:p>
        </w:tc>
        <w:tc>
          <w:tcPr>
            <w:tcW w:w="2677" w:type="dxa"/>
            <w:vAlign w:val="center"/>
          </w:tcPr>
          <w:p w14:paraId="7EDEA268" w14:textId="77777777" w:rsidR="00D226D6" w:rsidRPr="00011EA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TS. Bùi Thị Huyền</w:t>
            </w:r>
          </w:p>
          <w:p w14:paraId="3E097BBF" w14:textId="77777777" w:rsidR="00D226D6" w:rsidRPr="00D720F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Khoa Pháp luật kinh tế, Trường Đại học Luật Hà Nội</w:t>
            </w:r>
          </w:p>
        </w:tc>
        <w:tc>
          <w:tcPr>
            <w:tcW w:w="1228" w:type="dxa"/>
            <w:vAlign w:val="center"/>
          </w:tcPr>
          <w:p w14:paraId="0CDD33EB"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92</w:t>
            </w:r>
          </w:p>
        </w:tc>
      </w:tr>
      <w:tr w:rsidR="00D226D6" w:rsidRPr="00D720F5" w14:paraId="3CE22E01" w14:textId="77777777" w:rsidTr="0028061F">
        <w:tc>
          <w:tcPr>
            <w:tcW w:w="886" w:type="dxa"/>
            <w:vAlign w:val="center"/>
          </w:tcPr>
          <w:p w14:paraId="0E5A7B5C"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10</w:t>
            </w:r>
          </w:p>
        </w:tc>
        <w:tc>
          <w:tcPr>
            <w:tcW w:w="4604" w:type="dxa"/>
            <w:vAlign w:val="center"/>
          </w:tcPr>
          <w:p w14:paraId="403B345D" w14:textId="77777777" w:rsidR="00D226D6" w:rsidRPr="00011EA5" w:rsidRDefault="00D226D6" w:rsidP="0028061F">
            <w:pPr>
              <w:rPr>
                <w:rFonts w:ascii="Times New Roman" w:hAnsi="Times New Roman" w:cs="Times New Roman"/>
                <w:sz w:val="28"/>
                <w:szCs w:val="28"/>
              </w:rPr>
            </w:pPr>
            <w:r w:rsidRPr="00011EA5">
              <w:rPr>
                <w:rFonts w:ascii="Times New Roman" w:hAnsi="Times New Roman" w:cs="Times New Roman"/>
                <w:sz w:val="28"/>
                <w:szCs w:val="28"/>
              </w:rPr>
              <w:t>Luật bồi thường thiệt hại ngoài hợp đồng Việt Nam trước các thách thức của trí tuệ nhân tạo và các công nghệ số mới nổi</w:t>
            </w:r>
          </w:p>
        </w:tc>
        <w:tc>
          <w:tcPr>
            <w:tcW w:w="2677" w:type="dxa"/>
            <w:vAlign w:val="center"/>
          </w:tcPr>
          <w:p w14:paraId="3A54B99D" w14:textId="77777777" w:rsidR="00D226D6" w:rsidRPr="00011EA5" w:rsidRDefault="00D226D6" w:rsidP="0028061F">
            <w:pPr>
              <w:jc w:val="center"/>
              <w:rPr>
                <w:rFonts w:ascii="Times New Roman" w:hAnsi="Times New Roman" w:cs="Times New Roman"/>
                <w:sz w:val="28"/>
                <w:szCs w:val="28"/>
              </w:rPr>
            </w:pPr>
            <w:r w:rsidRPr="00011EA5">
              <w:rPr>
                <w:rFonts w:ascii="Times New Roman" w:hAnsi="Times New Roman" w:cs="Times New Roman"/>
                <w:sz w:val="28"/>
                <w:szCs w:val="28"/>
              </w:rPr>
              <w:t>TS. Đỗ Giang Nam - Trường Đại học Luật - ĐHQGHN</w:t>
            </w:r>
          </w:p>
        </w:tc>
        <w:tc>
          <w:tcPr>
            <w:tcW w:w="1228" w:type="dxa"/>
            <w:vAlign w:val="center"/>
          </w:tcPr>
          <w:p w14:paraId="5F61901A" w14:textId="77777777" w:rsidR="00D226D6" w:rsidRPr="00011EA5" w:rsidRDefault="00D226D6" w:rsidP="0028061F">
            <w:pPr>
              <w:jc w:val="center"/>
              <w:rPr>
                <w:rFonts w:ascii="Times New Roman" w:hAnsi="Times New Roman" w:cs="Times New Roman"/>
                <w:sz w:val="28"/>
                <w:szCs w:val="28"/>
              </w:rPr>
            </w:pPr>
            <w:r>
              <w:rPr>
                <w:rFonts w:ascii="Times New Roman" w:hAnsi="Times New Roman" w:cs="Times New Roman"/>
                <w:sz w:val="28"/>
                <w:szCs w:val="28"/>
              </w:rPr>
              <w:t>96</w:t>
            </w:r>
          </w:p>
        </w:tc>
      </w:tr>
    </w:tbl>
    <w:p w14:paraId="31A900AF" w14:textId="77777777" w:rsidR="006B1FE4" w:rsidRDefault="006B1FE4">
      <w:pPr>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br w:type="page"/>
      </w:r>
    </w:p>
    <w:p w14:paraId="095DE39C" w14:textId="419CA66A" w:rsidR="00CE1A36" w:rsidRDefault="0024149C" w:rsidP="00E71244">
      <w:pPr>
        <w:ind w:firstLine="709"/>
        <w:jc w:val="center"/>
        <w:rPr>
          <w:rFonts w:ascii="Times New Roman" w:hAnsi="Times New Roman" w:cs="Times New Roman"/>
          <w:b/>
          <w:color w:val="000000" w:themeColor="text1"/>
          <w:sz w:val="28"/>
          <w:szCs w:val="28"/>
        </w:rPr>
      </w:pPr>
      <w:r w:rsidRPr="0024149C">
        <w:rPr>
          <w:rFonts w:ascii="Times New Roman" w:hAnsi="Times New Roman" w:cs="Times New Roman"/>
          <w:b/>
          <w:color w:val="000000" w:themeColor="text1"/>
          <w:sz w:val="28"/>
          <w:szCs w:val="28"/>
        </w:rPr>
        <w:lastRenderedPageBreak/>
        <w:t>THỰC TRẠNG PHÁP LUẬT VỀ CHỮ KÝ SỐ, CHỮ KÝ ĐIỆN TỬ, HỢP ĐỒNG ĐIỆN TỬ – THÁO GỠ VƯỚNG MẮC CHO DOANH NGHIỆP KHỞI NGHIỆP</w:t>
      </w:r>
    </w:p>
    <w:p w14:paraId="5B088EF4" w14:textId="26D435FF" w:rsidR="0024149C" w:rsidRPr="0024149C" w:rsidRDefault="0024149C" w:rsidP="0024149C">
      <w:pPr>
        <w:ind w:firstLine="709"/>
        <w:jc w:val="right"/>
        <w:rPr>
          <w:rFonts w:ascii="Times New Roman" w:hAnsi="Times New Roman" w:cs="Times New Roman"/>
          <w:b/>
          <w:color w:val="000000" w:themeColor="text1"/>
          <w:sz w:val="28"/>
          <w:szCs w:val="28"/>
        </w:rPr>
      </w:pPr>
      <w:r w:rsidRPr="0024149C">
        <w:rPr>
          <w:rFonts w:ascii="Times New Roman" w:hAnsi="Times New Roman" w:cs="Times New Roman"/>
          <w:b/>
          <w:color w:val="000000" w:themeColor="text1"/>
          <w:sz w:val="28"/>
          <w:szCs w:val="28"/>
        </w:rPr>
        <w:t>Nguyễn Kim Hùng – Viện Khoa học QTDNNVV</w:t>
      </w:r>
    </w:p>
    <w:p w14:paraId="0FEBCE62" w14:textId="77777777" w:rsidR="0024149C" w:rsidRPr="0080689F" w:rsidRDefault="0024149C" w:rsidP="00E71244">
      <w:pPr>
        <w:ind w:firstLine="709"/>
        <w:jc w:val="center"/>
        <w:rPr>
          <w:rFonts w:ascii="Times New Roman" w:hAnsi="Times New Roman" w:cs="Times New Roman"/>
          <w:b/>
          <w:color w:val="000000" w:themeColor="text1"/>
          <w:sz w:val="28"/>
          <w:szCs w:val="28"/>
          <w:shd w:val="clear" w:color="auto" w:fill="F7F7F8"/>
          <w:lang w:val="vi-VN"/>
        </w:rPr>
      </w:pPr>
    </w:p>
    <w:p w14:paraId="6894E3BD" w14:textId="4F8B55CE" w:rsidR="003356CD" w:rsidRPr="0080689F" w:rsidRDefault="003356CD" w:rsidP="00E71244">
      <w:pPr>
        <w:ind w:firstLine="709"/>
        <w:jc w:val="both"/>
        <w:rPr>
          <w:rFonts w:ascii="Times New Roman" w:hAnsi="Times New Roman" w:cs="Times New Roman"/>
          <w:color w:val="000000" w:themeColor="text1"/>
          <w:sz w:val="28"/>
          <w:szCs w:val="28"/>
          <w:lang w:val="vi-VN"/>
        </w:rPr>
      </w:pPr>
      <w:r w:rsidRPr="0080689F">
        <w:rPr>
          <w:rFonts w:ascii="Times New Roman" w:hAnsi="Times New Roman" w:cs="Times New Roman"/>
          <w:color w:val="000000" w:themeColor="text1"/>
          <w:sz w:val="28"/>
          <w:szCs w:val="28"/>
          <w:lang w:val="vi-VN"/>
        </w:rPr>
        <w:t>Những quy định cơ bản về chữ ký số và phương thức công nhận</w:t>
      </w:r>
    </w:p>
    <w:p w14:paraId="77790A03" w14:textId="2A040BD4" w:rsidR="003356CD" w:rsidRPr="005E37EC" w:rsidRDefault="003356CD"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5E37EC">
        <w:rPr>
          <w:rFonts w:ascii="Times New Roman" w:eastAsia="Times New Roman" w:hAnsi="Times New Roman" w:cs="Times New Roman"/>
          <w:b/>
          <w:bCs/>
          <w:color w:val="000000" w:themeColor="text1"/>
          <w:kern w:val="0"/>
          <w:sz w:val="28"/>
          <w:szCs w:val="28"/>
          <w:lang w:val="vi-VN"/>
          <w14:ligatures w14:val="none"/>
        </w:rPr>
        <w:t>1. Khái niệm chữ ký số</w:t>
      </w:r>
    </w:p>
    <w:p w14:paraId="79821118" w14:textId="77777777"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color w:val="000000" w:themeColor="text1"/>
          <w:kern w:val="0"/>
          <w:sz w:val="28"/>
          <w:szCs w:val="28"/>
          <w:lang w:val="vi-VN"/>
          <w14:ligatures w14:val="none"/>
        </w:rPr>
        <w:t>Chữ ký số để làm gì? Theo quy định của pháp luật và căn cứ vào </w:t>
      </w:r>
      <w:r w:rsidRPr="005E37EC">
        <w:rPr>
          <w:rFonts w:ascii="Times New Roman" w:eastAsia="Times New Roman" w:hAnsi="Times New Roman" w:cs="Times New Roman"/>
          <w:b/>
          <w:bCs/>
          <w:color w:val="000000" w:themeColor="text1"/>
          <w:kern w:val="0"/>
          <w:sz w:val="28"/>
          <w:szCs w:val="28"/>
          <w:lang w:val="vi-VN"/>
          <w14:ligatures w14:val="none"/>
        </w:rPr>
        <w:t>Khoản 6 Điều 3 Nghị định 130/2018 NĐ-CP</w:t>
      </w:r>
      <w:r w:rsidRPr="005E37EC">
        <w:rPr>
          <w:rFonts w:ascii="Times New Roman" w:eastAsia="Times New Roman" w:hAnsi="Times New Roman" w:cs="Times New Roman"/>
          <w:color w:val="000000" w:themeColor="text1"/>
          <w:kern w:val="0"/>
          <w:sz w:val="28"/>
          <w:szCs w:val="28"/>
          <w:lang w:val="vi-VN"/>
          <w14:ligatures w14:val="none"/>
        </w:rPr>
        <w:t> nêu rõ: </w:t>
      </w:r>
    </w:p>
    <w:p w14:paraId="4163DF93" w14:textId="77777777" w:rsidR="0024149C" w:rsidRDefault="003356CD" w:rsidP="0024149C">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color w:val="000000" w:themeColor="text1"/>
          <w:kern w:val="0"/>
          <w:sz w:val="28"/>
          <w:szCs w:val="28"/>
          <w:lang w:val="vi-VN"/>
          <w14:ligatures w14:val="none"/>
        </w:rPr>
        <w:t>“Chữ ký số là một dạng chữ ký điện tử được tạo ra bằng sự biến đổi một thông điệp dữ liệu sử dụng hệ thống mật mã không đối xứng, theo đó, người có được thông điệp dữ liệu ban đầu và khóa công khai của người ký có thể xác định được chính xác: Việc biến đổi nêu trên được tạo ra bằng đúng khóa bí mật tương ứng với khóa công khai trong cùng một cặp khóa</w:t>
      </w:r>
      <w:r w:rsidR="0024149C" w:rsidRPr="0024149C">
        <w:rPr>
          <w:rFonts w:ascii="Times New Roman" w:eastAsia="Times New Roman" w:hAnsi="Times New Roman" w:cs="Times New Roman"/>
          <w:color w:val="000000" w:themeColor="text1"/>
          <w:kern w:val="0"/>
          <w:sz w:val="28"/>
          <w:szCs w:val="28"/>
          <w:lang w:val="vi-VN"/>
          <w14:ligatures w14:val="none"/>
        </w:rPr>
        <w:t xml:space="preserve">. </w:t>
      </w:r>
      <w:r w:rsidRPr="005E37EC">
        <w:rPr>
          <w:rFonts w:ascii="Times New Roman" w:eastAsia="Times New Roman" w:hAnsi="Times New Roman" w:cs="Times New Roman"/>
          <w:color w:val="000000" w:themeColor="text1"/>
          <w:kern w:val="0"/>
          <w:sz w:val="28"/>
          <w:szCs w:val="28"/>
          <w:lang w:val="vi-VN"/>
          <w14:ligatures w14:val="none"/>
        </w:rPr>
        <w:t>Sự toàn vẹn nội dung của thông điệp dữ liệu kể từ khi thực hiện việc biến đổi nêu trên.”</w:t>
      </w:r>
      <w:r w:rsidR="0024149C" w:rsidRPr="0024149C">
        <w:rPr>
          <w:rFonts w:ascii="Times New Roman" w:eastAsia="Times New Roman" w:hAnsi="Times New Roman" w:cs="Times New Roman"/>
          <w:color w:val="000000" w:themeColor="text1"/>
          <w:kern w:val="0"/>
          <w:sz w:val="28"/>
          <w:szCs w:val="28"/>
          <w:lang w:val="vi-VN"/>
          <w14:ligatures w14:val="none"/>
        </w:rPr>
        <w:t xml:space="preserve"> </w:t>
      </w:r>
    </w:p>
    <w:p w14:paraId="73015A61" w14:textId="2F84E119" w:rsidR="003356CD" w:rsidRPr="005E37EC" w:rsidRDefault="003356CD" w:rsidP="0024149C">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color w:val="000000" w:themeColor="text1"/>
          <w:kern w:val="0"/>
          <w:sz w:val="28"/>
          <w:szCs w:val="28"/>
          <w:lang w:val="vi-VN"/>
          <w14:ligatures w14:val="none"/>
        </w:rPr>
        <w:t>Bên cạnh đó, nếu hiểu theo tính ứng dụng thì chữ ký số được hiểu là một loại chữ ký điện tử. Chữ ký này sẽ thay thế hoàn toàn chữ ký thường bằng tay và sử dụng trên thiết bị điện tử. Vai trò của chữ ký số được hiểu như là một chữ ký tay của cá nhân hay một con dấu của cơ quan, doanh nghiệp. Sử dụng chữ ký số, các cá nhân, cơ quan, doanh nghiệp sẽ được pháp luật </w:t>
      </w:r>
      <w:r w:rsidRPr="005E37EC">
        <w:rPr>
          <w:rFonts w:ascii="Times New Roman" w:eastAsia="Times New Roman" w:hAnsi="Times New Roman" w:cs="Times New Roman"/>
          <w:b/>
          <w:bCs/>
          <w:color w:val="000000" w:themeColor="text1"/>
          <w:kern w:val="0"/>
          <w:sz w:val="28"/>
          <w:szCs w:val="28"/>
          <w:lang w:val="vi-VN"/>
          <w14:ligatures w14:val="none"/>
        </w:rPr>
        <w:t>thừa nhận về mặt pháp lý</w:t>
      </w:r>
      <w:r w:rsidRPr="005E37EC">
        <w:rPr>
          <w:rFonts w:ascii="Times New Roman" w:eastAsia="Times New Roman" w:hAnsi="Times New Roman" w:cs="Times New Roman"/>
          <w:color w:val="000000" w:themeColor="text1"/>
          <w:kern w:val="0"/>
          <w:sz w:val="28"/>
          <w:szCs w:val="28"/>
          <w:lang w:val="vi-VN"/>
          <w14:ligatures w14:val="none"/>
        </w:rPr>
        <w:t> khi thực hiện giao dịch trên môi trường điện tử. Tiêu biểu một số giao dịch như ký kê khai thuế, hợp đồng điện tử, giao dịch tài chính,...</w:t>
      </w:r>
    </w:p>
    <w:p w14:paraId="1B352562" w14:textId="326F4698" w:rsidR="003356CD" w:rsidRPr="005E37EC" w:rsidRDefault="003356CD"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5E37EC">
        <w:rPr>
          <w:rFonts w:ascii="Times New Roman" w:eastAsia="Times New Roman" w:hAnsi="Times New Roman" w:cs="Times New Roman"/>
          <w:b/>
          <w:bCs/>
          <w:color w:val="000000" w:themeColor="text1"/>
          <w:kern w:val="0"/>
          <w:sz w:val="28"/>
          <w:szCs w:val="28"/>
          <w:lang w:val="vi-VN"/>
          <w14:ligatures w14:val="none"/>
        </w:rPr>
        <w:t>2. Đặc điểm của chữ ký số </w:t>
      </w:r>
    </w:p>
    <w:p w14:paraId="028BA318" w14:textId="77777777"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80689F">
        <w:rPr>
          <w:rFonts w:ascii="Times New Roman" w:eastAsia="Times New Roman" w:hAnsi="Times New Roman" w:cs="Times New Roman"/>
          <w:color w:val="000000" w:themeColor="text1"/>
          <w:kern w:val="0"/>
          <w:sz w:val="28"/>
          <w:szCs w:val="28"/>
          <w:lang w:val="vi-VN"/>
          <w14:ligatures w14:val="none"/>
        </w:rPr>
        <w:t xml:space="preserve">- </w:t>
      </w:r>
      <w:r w:rsidRPr="005E37EC">
        <w:rPr>
          <w:rFonts w:ascii="Times New Roman" w:eastAsia="Times New Roman" w:hAnsi="Times New Roman" w:cs="Times New Roman"/>
          <w:b/>
          <w:bCs/>
          <w:color w:val="000000" w:themeColor="text1"/>
          <w:kern w:val="0"/>
          <w:sz w:val="28"/>
          <w:szCs w:val="28"/>
          <w:lang w:val="vi-VN"/>
          <w14:ligatures w14:val="none"/>
        </w:rPr>
        <w:t>Tính xác thực:</w:t>
      </w:r>
      <w:r w:rsidRPr="005E37EC">
        <w:rPr>
          <w:rFonts w:ascii="Times New Roman" w:eastAsia="Times New Roman" w:hAnsi="Times New Roman" w:cs="Times New Roman"/>
          <w:color w:val="000000" w:themeColor="text1"/>
          <w:kern w:val="0"/>
          <w:sz w:val="28"/>
          <w:szCs w:val="28"/>
          <w:lang w:val="vi-VN"/>
          <w14:ligatures w14:val="none"/>
        </w:rPr>
        <w:t> Thông qua chứng thư số của cá nhân, tổ chức, doanh nghiệp, chữ ký số có thể giúp xác thực danh tính chủ nhân của chữ ký số</w:t>
      </w:r>
    </w:p>
    <w:p w14:paraId="432F48C5" w14:textId="77777777"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80689F">
        <w:rPr>
          <w:rFonts w:ascii="Times New Roman" w:eastAsia="Times New Roman" w:hAnsi="Times New Roman" w:cs="Times New Roman"/>
          <w:color w:val="000000" w:themeColor="text1"/>
          <w:kern w:val="0"/>
          <w:sz w:val="28"/>
          <w:szCs w:val="28"/>
          <w:lang w:val="vi-VN"/>
          <w14:ligatures w14:val="none"/>
        </w:rPr>
        <w:t xml:space="preserve">- </w:t>
      </w:r>
      <w:r w:rsidRPr="005E37EC">
        <w:rPr>
          <w:rFonts w:ascii="Times New Roman" w:eastAsia="Times New Roman" w:hAnsi="Times New Roman" w:cs="Times New Roman"/>
          <w:b/>
          <w:bCs/>
          <w:color w:val="000000" w:themeColor="text1"/>
          <w:kern w:val="0"/>
          <w:sz w:val="28"/>
          <w:szCs w:val="28"/>
          <w:lang w:val="vi-VN"/>
          <w14:ligatures w14:val="none"/>
        </w:rPr>
        <w:t>Tính bảo mật:</w:t>
      </w:r>
      <w:r w:rsidRPr="005E37EC">
        <w:rPr>
          <w:rFonts w:ascii="Times New Roman" w:eastAsia="Times New Roman" w:hAnsi="Times New Roman" w:cs="Times New Roman"/>
          <w:color w:val="000000" w:themeColor="text1"/>
          <w:kern w:val="0"/>
          <w:sz w:val="28"/>
          <w:szCs w:val="28"/>
          <w:lang w:val="vi-VN"/>
          <w14:ligatures w14:val="none"/>
        </w:rPr>
        <w:t> Chữ ký số có tính bảo mật gần như tuyệt đối và thông tin không dễ bị đánh cắp bởi các hacker. Vì chữ ký số có tới 2 lớp mã khóa bảo mật đó là khóa bí mật và khóa công khai.</w:t>
      </w:r>
    </w:p>
    <w:p w14:paraId="31C561FA" w14:textId="77777777"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80689F">
        <w:rPr>
          <w:rFonts w:ascii="Times New Roman" w:eastAsia="Times New Roman" w:hAnsi="Times New Roman" w:cs="Times New Roman"/>
          <w:color w:val="000000" w:themeColor="text1"/>
          <w:kern w:val="0"/>
          <w:sz w:val="28"/>
          <w:szCs w:val="28"/>
          <w:lang w:val="vi-VN"/>
          <w14:ligatures w14:val="none"/>
        </w:rPr>
        <w:t xml:space="preserve">- </w:t>
      </w:r>
      <w:r w:rsidRPr="005E37EC">
        <w:rPr>
          <w:rFonts w:ascii="Times New Roman" w:eastAsia="Times New Roman" w:hAnsi="Times New Roman" w:cs="Times New Roman"/>
          <w:b/>
          <w:bCs/>
          <w:color w:val="000000" w:themeColor="text1"/>
          <w:kern w:val="0"/>
          <w:sz w:val="28"/>
          <w:szCs w:val="28"/>
          <w:lang w:val="vi-VN"/>
          <w14:ligatures w14:val="none"/>
        </w:rPr>
        <w:t xml:space="preserve"> Tính toàn vẹn: </w:t>
      </w:r>
      <w:r w:rsidRPr="005E37EC">
        <w:rPr>
          <w:rFonts w:ascii="Times New Roman" w:eastAsia="Times New Roman" w:hAnsi="Times New Roman" w:cs="Times New Roman"/>
          <w:color w:val="000000" w:themeColor="text1"/>
          <w:kern w:val="0"/>
          <w:sz w:val="28"/>
          <w:szCs w:val="28"/>
          <w:lang w:val="vi-VN"/>
          <w14:ligatures w14:val="none"/>
        </w:rPr>
        <w:t>Văn bản/tài liệu có chữ ký số chỉ có thể được mở bởi duy nhất một người đó là người nhận văn bản/tài liệu đó. Vì vậy, trong môi trường giao dịch điện tử, mọi thông tin của tài liệu/văn bản đều được đảm bảo toàn vẹn một cách tuyệt đối. </w:t>
      </w:r>
    </w:p>
    <w:p w14:paraId="4836A769" w14:textId="64898DC5"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80689F">
        <w:rPr>
          <w:rFonts w:ascii="Times New Roman" w:eastAsia="Times New Roman" w:hAnsi="Times New Roman" w:cs="Times New Roman"/>
          <w:color w:val="000000" w:themeColor="text1"/>
          <w:kern w:val="0"/>
          <w:sz w:val="28"/>
          <w:szCs w:val="28"/>
          <w:lang w:val="vi-VN"/>
          <w14:ligatures w14:val="none"/>
        </w:rPr>
        <w:lastRenderedPageBreak/>
        <w:t xml:space="preserve">- </w:t>
      </w:r>
      <w:r w:rsidRPr="005E37EC">
        <w:rPr>
          <w:rFonts w:ascii="Times New Roman" w:eastAsia="Times New Roman" w:hAnsi="Times New Roman" w:cs="Times New Roman"/>
          <w:b/>
          <w:bCs/>
          <w:color w:val="000000" w:themeColor="text1"/>
          <w:kern w:val="0"/>
          <w:sz w:val="28"/>
          <w:szCs w:val="28"/>
          <w:lang w:val="vi-VN"/>
          <w14:ligatures w14:val="none"/>
        </w:rPr>
        <w:t>Tính chống chối bỏ:</w:t>
      </w:r>
      <w:r w:rsidRPr="005E37EC">
        <w:rPr>
          <w:rFonts w:ascii="Times New Roman" w:eastAsia="Times New Roman" w:hAnsi="Times New Roman" w:cs="Times New Roman"/>
          <w:color w:val="000000" w:themeColor="text1"/>
          <w:kern w:val="0"/>
          <w:sz w:val="28"/>
          <w:szCs w:val="28"/>
          <w:lang w:val="vi-VN"/>
          <w14:ligatures w14:val="none"/>
        </w:rPr>
        <w:t> Khi các văn bản/tài liệu/hợp đồng đã có chữ ký số thì chữ ký số này không thể thay thế cũng không thể xóa bỏ. </w:t>
      </w:r>
    </w:p>
    <w:p w14:paraId="3C6C0DE8" w14:textId="77777777" w:rsidR="003356CD" w:rsidRPr="005E37EC" w:rsidRDefault="003356CD"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5E37EC">
        <w:rPr>
          <w:rFonts w:ascii="Times New Roman" w:eastAsia="Times New Roman" w:hAnsi="Times New Roman" w:cs="Times New Roman"/>
          <w:b/>
          <w:bCs/>
          <w:color w:val="000000" w:themeColor="text1"/>
          <w:kern w:val="0"/>
          <w:sz w:val="28"/>
          <w:szCs w:val="28"/>
          <w:lang w:val="vi-VN"/>
          <w14:ligatures w14:val="none"/>
        </w:rPr>
        <w:t>3. Đối tượng sử dụng chữ ký số</w:t>
      </w:r>
    </w:p>
    <w:p w14:paraId="185E52DA" w14:textId="4E43CFD0"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80689F">
        <w:rPr>
          <w:rFonts w:ascii="Times New Roman" w:eastAsia="Times New Roman" w:hAnsi="Times New Roman" w:cs="Times New Roman"/>
          <w:color w:val="000000" w:themeColor="text1"/>
          <w:kern w:val="0"/>
          <w:sz w:val="28"/>
          <w:szCs w:val="28"/>
          <w:lang w:val="vi-VN"/>
          <w14:ligatures w14:val="none"/>
        </w:rPr>
        <w:t>Đ</w:t>
      </w:r>
      <w:r w:rsidRPr="005E37EC">
        <w:rPr>
          <w:rFonts w:ascii="Times New Roman" w:eastAsia="Times New Roman" w:hAnsi="Times New Roman" w:cs="Times New Roman"/>
          <w:color w:val="000000" w:themeColor="text1"/>
          <w:kern w:val="0"/>
          <w:sz w:val="28"/>
          <w:szCs w:val="28"/>
          <w:lang w:val="vi-VN"/>
          <w14:ligatures w14:val="none"/>
        </w:rPr>
        <w:t>ối tượng sử dụng chữ ký số hiện nay bao gồm </w:t>
      </w:r>
      <w:r w:rsidRPr="005E37EC">
        <w:rPr>
          <w:rFonts w:ascii="Times New Roman" w:eastAsia="Times New Roman" w:hAnsi="Times New Roman" w:cs="Times New Roman"/>
          <w:b/>
          <w:bCs/>
          <w:color w:val="000000" w:themeColor="text1"/>
          <w:kern w:val="0"/>
          <w:sz w:val="28"/>
          <w:szCs w:val="28"/>
          <w:lang w:val="vi-VN"/>
          <w14:ligatures w14:val="none"/>
        </w:rPr>
        <w:t>tất cả mọi cá nhân và tổ chức</w:t>
      </w:r>
      <w:r w:rsidRPr="005E37EC">
        <w:rPr>
          <w:rFonts w:ascii="Times New Roman" w:eastAsia="Times New Roman" w:hAnsi="Times New Roman" w:cs="Times New Roman"/>
          <w:color w:val="000000" w:themeColor="text1"/>
          <w:kern w:val="0"/>
          <w:sz w:val="28"/>
          <w:szCs w:val="28"/>
          <w:lang w:val="vi-VN"/>
          <w14:ligatures w14:val="none"/>
        </w:rPr>
        <w:t>. Theo đó, các cá nhân và tổ chức sẽ sử dụng chữ ký số cho những mục đích cụ thể như sau:</w:t>
      </w:r>
    </w:p>
    <w:p w14:paraId="2D58A70C" w14:textId="77777777"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b/>
          <w:bCs/>
          <w:color w:val="000000" w:themeColor="text1"/>
          <w:kern w:val="0"/>
          <w:sz w:val="28"/>
          <w:szCs w:val="28"/>
          <w:lang w:val="vi-VN"/>
          <w14:ligatures w14:val="none"/>
        </w:rPr>
        <w:t>Chữ ký số cho cá nhân/cá nhân thuộc tổ chức/doanh nghiệp:</w:t>
      </w:r>
      <w:r w:rsidRPr="005E37EC">
        <w:rPr>
          <w:rFonts w:ascii="Times New Roman" w:eastAsia="Times New Roman" w:hAnsi="Times New Roman" w:cs="Times New Roman"/>
          <w:color w:val="000000" w:themeColor="text1"/>
          <w:kern w:val="0"/>
          <w:sz w:val="28"/>
          <w:szCs w:val="28"/>
          <w:lang w:val="vi-VN"/>
          <w14:ligatures w14:val="none"/>
        </w:rPr>
        <w:t> Được sử dụng với mục đích khai nộp thuế thu nhập cá nhân, khai báo trên trang đăng ký kinh doanh hay ký hợp đồng lao động với đơn vị sử dụng lao động,....</w:t>
      </w:r>
    </w:p>
    <w:p w14:paraId="4C263A38" w14:textId="77777777"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b/>
          <w:bCs/>
          <w:color w:val="000000" w:themeColor="text1"/>
          <w:kern w:val="0"/>
          <w:sz w:val="28"/>
          <w:szCs w:val="28"/>
          <w:lang w:val="vi-VN"/>
          <w14:ligatures w14:val="none"/>
        </w:rPr>
        <w:t xml:space="preserve"> Chữ ký số cho doanh nghiệp, tổ chức:</w:t>
      </w:r>
      <w:r w:rsidRPr="005E37EC">
        <w:rPr>
          <w:rFonts w:ascii="Times New Roman" w:eastAsia="Times New Roman" w:hAnsi="Times New Roman" w:cs="Times New Roman"/>
          <w:color w:val="000000" w:themeColor="text1"/>
          <w:kern w:val="0"/>
          <w:sz w:val="28"/>
          <w:szCs w:val="28"/>
          <w:lang w:val="vi-VN"/>
          <w14:ligatures w14:val="none"/>
        </w:rPr>
        <w:t> Được sử dụng với mục đích kê khai thuế, nộp thuế, đăng ký BHXH, khai nộp thuế hải quan,....Bên cạnh đó, doanh nghiệp, tổ chức còn sử dụng chữ ký số trong việc ký văn bản nội bộ, ký giao dịch đối soát, ký giao dịch chuyển khoản ngân hàng,....và nhiều mục đích khác. </w:t>
      </w:r>
    </w:p>
    <w:p w14:paraId="2BFA7B0A" w14:textId="57F4246C"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b/>
          <w:bCs/>
          <w:color w:val="000000" w:themeColor="text1"/>
          <w:kern w:val="0"/>
          <w:sz w:val="28"/>
          <w:szCs w:val="28"/>
          <w:lang w:val="vi-VN"/>
          <w14:ligatures w14:val="none"/>
        </w:rPr>
        <w:t>4. Mục đích sử dụng chữ ký số  </w:t>
      </w:r>
    </w:p>
    <w:p w14:paraId="434EF178" w14:textId="4FD95221"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color w:val="000000" w:themeColor="text1"/>
          <w:kern w:val="0"/>
          <w:sz w:val="28"/>
          <w:szCs w:val="28"/>
          <w:lang w:val="vi-VN"/>
          <w14:ligatures w14:val="none"/>
        </w:rPr>
        <w:t>Trên thực tế, chữ ký số bao gồm 3 mục đích chính, quan trọng sau đây: </w:t>
      </w:r>
    </w:p>
    <w:p w14:paraId="6B98069F" w14:textId="3E5512A9" w:rsidR="003356CD" w:rsidRPr="0024149C" w:rsidRDefault="003356CD" w:rsidP="00E71244">
      <w:pPr>
        <w:ind w:firstLine="709"/>
        <w:jc w:val="both"/>
        <w:rPr>
          <w:rFonts w:ascii="Times New Roman" w:eastAsia="Times New Roman" w:hAnsi="Times New Roman" w:cs="Times New Roman"/>
          <w:color w:val="000000" w:themeColor="text1"/>
          <w:spacing w:val="-4"/>
          <w:kern w:val="0"/>
          <w:sz w:val="28"/>
          <w:szCs w:val="28"/>
          <w:lang w:val="vi-VN"/>
          <w14:ligatures w14:val="none"/>
        </w:rPr>
      </w:pPr>
      <w:r w:rsidRPr="0024149C">
        <w:rPr>
          <w:rFonts w:ascii="Times New Roman" w:eastAsia="Times New Roman" w:hAnsi="Times New Roman" w:cs="Times New Roman"/>
          <w:color w:val="000000" w:themeColor="text1"/>
          <w:kern w:val="0"/>
          <w:sz w:val="28"/>
          <w:szCs w:val="28"/>
          <w:lang w:val="vi-VN"/>
          <w14:ligatures w14:val="none"/>
        </w:rPr>
        <w:t xml:space="preserve"> </w:t>
      </w:r>
      <w:r w:rsidRPr="0024149C">
        <w:rPr>
          <w:rFonts w:ascii="Times New Roman" w:eastAsia="Times New Roman" w:hAnsi="Times New Roman" w:cs="Times New Roman"/>
          <w:color w:val="000000" w:themeColor="text1"/>
          <w:spacing w:val="-4"/>
          <w:kern w:val="0"/>
          <w:sz w:val="28"/>
          <w:szCs w:val="28"/>
          <w:lang w:val="vi-VN"/>
          <w14:ligatures w14:val="none"/>
        </w:rPr>
        <w:t>Dùng để </w:t>
      </w:r>
      <w:r w:rsidRPr="0024149C">
        <w:rPr>
          <w:rFonts w:ascii="Times New Roman" w:eastAsia="Times New Roman" w:hAnsi="Times New Roman" w:cs="Times New Roman"/>
          <w:b/>
          <w:bCs/>
          <w:color w:val="000000" w:themeColor="text1"/>
          <w:spacing w:val="-4"/>
          <w:kern w:val="0"/>
          <w:sz w:val="28"/>
          <w:szCs w:val="28"/>
          <w:lang w:val="vi-VN"/>
          <w14:ligatures w14:val="none"/>
        </w:rPr>
        <w:t>kê khai, nộp tờ khai, nộp các nghĩa vụ tài chính</w:t>
      </w:r>
      <w:r w:rsidRPr="0024149C">
        <w:rPr>
          <w:rFonts w:ascii="Times New Roman" w:eastAsia="Times New Roman" w:hAnsi="Times New Roman" w:cs="Times New Roman"/>
          <w:bCs/>
          <w:color w:val="000000" w:themeColor="text1"/>
          <w:spacing w:val="-4"/>
          <w:kern w:val="0"/>
          <w:sz w:val="28"/>
          <w:szCs w:val="28"/>
          <w:lang w:val="vi-VN"/>
          <w14:ligatures w14:val="none"/>
        </w:rPr>
        <w:t xml:space="preserve"> trong lĩnh vực thuế, hải quan và giao dịch chứng khoán</w:t>
      </w:r>
      <w:r w:rsidRPr="0024149C">
        <w:rPr>
          <w:rFonts w:ascii="Times New Roman" w:eastAsia="Times New Roman" w:hAnsi="Times New Roman" w:cs="Times New Roman"/>
          <w:color w:val="000000" w:themeColor="text1"/>
          <w:spacing w:val="-4"/>
          <w:kern w:val="0"/>
          <w:sz w:val="28"/>
          <w:szCs w:val="28"/>
          <w:lang w:val="vi-VN"/>
          <w14:ligatures w14:val="none"/>
        </w:rPr>
        <w:t>,....Trong các trường hợp này, doanh nghiệp không cần phải in lại các tờ khai và thực hiện thủ tục đóng dấu như thông thường.</w:t>
      </w:r>
    </w:p>
    <w:p w14:paraId="4AA84420" w14:textId="77777777"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b/>
          <w:bCs/>
          <w:color w:val="000000" w:themeColor="text1"/>
          <w:kern w:val="0"/>
          <w:sz w:val="28"/>
          <w:szCs w:val="28"/>
          <w:lang w:val="vi-VN"/>
          <w14:ligatures w14:val="none"/>
        </w:rPr>
        <w:t xml:space="preserve"> Dùng khi doanh nghiệp cần thực hiện các thủ tục về đăng ký doanh nghiệp như:</w:t>
      </w:r>
      <w:r w:rsidRPr="005E37EC">
        <w:rPr>
          <w:rFonts w:ascii="Times New Roman" w:eastAsia="Times New Roman" w:hAnsi="Times New Roman" w:cs="Times New Roman"/>
          <w:color w:val="000000" w:themeColor="text1"/>
          <w:kern w:val="0"/>
          <w:sz w:val="28"/>
          <w:szCs w:val="28"/>
          <w:lang w:val="vi-VN"/>
          <w14:ligatures w14:val="none"/>
        </w:rPr>
        <w:t> đăng ký địa điểm kinh doanh, thành lập chi nhánh, văn phòng đại diện hay thay đổi đăng ký kinh doanh,....Sử dụng chữ ký số trong các trường hợp này giúp doanh nghiệp đơn giản hóa thủ tục hành chính, thúc đẩy tiến độ công việc diễn ra nhanh hơn. </w:t>
      </w:r>
    </w:p>
    <w:p w14:paraId="188DBFB8" w14:textId="2A622826" w:rsidR="003356CD" w:rsidRPr="005E37EC" w:rsidRDefault="003356C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color w:val="000000" w:themeColor="text1"/>
          <w:kern w:val="0"/>
          <w:sz w:val="28"/>
          <w:szCs w:val="28"/>
          <w:lang w:val="vi-VN"/>
          <w14:ligatures w14:val="none"/>
        </w:rPr>
        <w:t xml:space="preserve"> Sử dụng khi </w:t>
      </w:r>
      <w:r w:rsidRPr="005E37EC">
        <w:rPr>
          <w:rFonts w:ascii="Times New Roman" w:eastAsia="Times New Roman" w:hAnsi="Times New Roman" w:cs="Times New Roman"/>
          <w:b/>
          <w:bCs/>
          <w:color w:val="000000" w:themeColor="text1"/>
          <w:kern w:val="0"/>
          <w:sz w:val="28"/>
          <w:szCs w:val="28"/>
          <w:lang w:val="vi-VN"/>
          <w14:ligatures w14:val="none"/>
        </w:rPr>
        <w:t>doanh nghiệp và đối tác/khách hàng của doanh nghiệp ký kết hợp đồng</w:t>
      </w:r>
      <w:r w:rsidRPr="005E37EC">
        <w:rPr>
          <w:rFonts w:ascii="Times New Roman" w:eastAsia="Times New Roman" w:hAnsi="Times New Roman" w:cs="Times New Roman"/>
          <w:color w:val="000000" w:themeColor="text1"/>
          <w:kern w:val="0"/>
          <w:sz w:val="28"/>
          <w:szCs w:val="28"/>
          <w:lang w:val="vi-VN"/>
          <w14:ligatures w14:val="none"/>
        </w:rPr>
        <w:t> thông qua hình thức trực tuyến. Điều này giúp các bên tiết kiệm thời gian tối ưu trong việc di chuyển, gặp mặt trực tiếp.</w:t>
      </w:r>
    </w:p>
    <w:p w14:paraId="1100A248" w14:textId="01BAADE8"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hAnsi="Times New Roman" w:cs="Times New Roman"/>
          <w:noProof/>
          <w:color w:val="000000" w:themeColor="text1"/>
          <w:sz w:val="28"/>
          <w:szCs w:val="28"/>
        </w:rPr>
        <w:lastRenderedPageBreak/>
        <w:drawing>
          <wp:inline distT="0" distB="0" distL="0" distR="0" wp14:anchorId="068E1DA3" wp14:editId="454872F8">
            <wp:extent cx="5167223" cy="3298411"/>
            <wp:effectExtent l="0" t="0" r="0" b="0"/>
            <wp:docPr id="1780952873" name="Picture 7" descr="mục đích sử dụng chữ ký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ục đích sử dụng chữ ký số"/>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179626" cy="3306329"/>
                    </a:xfrm>
                    <a:prstGeom prst="rect">
                      <a:avLst/>
                    </a:prstGeom>
                    <a:noFill/>
                    <a:ln>
                      <a:noFill/>
                    </a:ln>
                  </pic:spPr>
                </pic:pic>
              </a:graphicData>
            </a:graphic>
          </wp:inline>
        </w:drawing>
      </w:r>
    </w:p>
    <w:p w14:paraId="605E4C9E"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Chữ ký số dùng cho nhiều mục đích khác nhau giúp công việc diễn ra nhanh chóng, thuận lợi hơn </w:t>
      </w:r>
    </w:p>
    <w:p w14:paraId="19C888F8"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Như vậy, mục đích cuối cùng khi sử dụng chữ ký số đó là giúp cho quá trình trao đổi thông tin, dữ liệu giữa các bên liên quan trở nên nhanh chóng và thuận lợi hơn. Đồng thời dễ dàng thao tác các thủ tục trực tuyến, rút ngắn thời gian trao đổi mà vẫn đảm bảo tính bảo mật cao và an toàn về mặt pháp lý. </w:t>
      </w:r>
    </w:p>
    <w:p w14:paraId="4AA803CD" w14:textId="0F10E398" w:rsidR="003356CD" w:rsidRPr="0024149C" w:rsidRDefault="00C0426D" w:rsidP="0024149C">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lang w:val="vi-VN"/>
          <w14:ligatures w14:val="none"/>
        </w:rPr>
        <w:t xml:space="preserve">5. </w:t>
      </w:r>
      <w:r w:rsidR="003356CD" w:rsidRPr="0080689F">
        <w:rPr>
          <w:rFonts w:ascii="Times New Roman" w:eastAsia="Times New Roman" w:hAnsi="Times New Roman" w:cs="Times New Roman"/>
          <w:b/>
          <w:bCs/>
          <w:color w:val="000000" w:themeColor="text1"/>
          <w:kern w:val="0"/>
          <w:sz w:val="28"/>
          <w:szCs w:val="28"/>
          <w14:ligatures w14:val="none"/>
        </w:rPr>
        <w:t xml:space="preserve"> Top 4 loại chữ ký số đang được sử dụng hiện nay</w:t>
      </w:r>
    </w:p>
    <w:p w14:paraId="69805CB6" w14:textId="2AA6B441"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hAnsi="Times New Roman" w:cs="Times New Roman"/>
          <w:noProof/>
          <w:color w:val="000000" w:themeColor="text1"/>
          <w:sz w:val="28"/>
          <w:szCs w:val="28"/>
        </w:rPr>
        <w:drawing>
          <wp:inline distT="0" distB="0" distL="0" distR="0" wp14:anchorId="151399E2" wp14:editId="0D3B7DC8">
            <wp:extent cx="4908431" cy="2765083"/>
            <wp:effectExtent l="0" t="0" r="6985" b="0"/>
            <wp:docPr id="574789376" name="Picture 6" descr="các loại chữ ký s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ác loại chữ ký số"/>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15767" cy="2769215"/>
                    </a:xfrm>
                    <a:prstGeom prst="rect">
                      <a:avLst/>
                    </a:prstGeom>
                    <a:noFill/>
                    <a:ln>
                      <a:noFill/>
                    </a:ln>
                  </pic:spPr>
                </pic:pic>
              </a:graphicData>
            </a:graphic>
          </wp:inline>
        </w:drawing>
      </w:r>
    </w:p>
    <w:p w14:paraId="461A8BCB" w14:textId="77777777" w:rsidR="0024149C" w:rsidRDefault="0024149C">
      <w:pPr>
        <w:rPr>
          <w:rFonts w:ascii="Times New Roman" w:eastAsia="Times New Roman" w:hAnsi="Times New Roman" w:cs="Times New Roman"/>
          <w:i/>
          <w:iCs/>
          <w:color w:val="000000" w:themeColor="text1"/>
          <w:kern w:val="0"/>
          <w:sz w:val="28"/>
          <w:szCs w:val="28"/>
          <w14:ligatures w14:val="none"/>
        </w:rPr>
      </w:pPr>
      <w:r>
        <w:rPr>
          <w:rFonts w:ascii="Times New Roman" w:eastAsia="Times New Roman" w:hAnsi="Times New Roman" w:cs="Times New Roman"/>
          <w:i/>
          <w:iCs/>
          <w:color w:val="000000" w:themeColor="text1"/>
          <w:kern w:val="0"/>
          <w:sz w:val="28"/>
          <w:szCs w:val="28"/>
          <w14:ligatures w14:val="none"/>
        </w:rPr>
        <w:br w:type="page"/>
      </w:r>
    </w:p>
    <w:p w14:paraId="7C71A2BB" w14:textId="7D29C293"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lastRenderedPageBreak/>
        <w:t>Hiện nay trên thị trường đang có 4 loại chữ ký số được sử dụng phổ biến</w:t>
      </w:r>
    </w:p>
    <w:p w14:paraId="2E7CE05D" w14:textId="30709885"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Chữ ký số USB Token</w:t>
      </w:r>
      <w:r w:rsidRPr="0080689F">
        <w:rPr>
          <w:rFonts w:ascii="Times New Roman" w:eastAsia="Times New Roman" w:hAnsi="Times New Roman" w:cs="Times New Roman"/>
          <w:i/>
          <w:iCs/>
          <w:color w:val="000000" w:themeColor="text1"/>
          <w:kern w:val="0"/>
          <w:sz w:val="28"/>
          <w:szCs w:val="28"/>
          <w14:ligatures w14:val="none"/>
        </w:rPr>
        <w:t xml:space="preserve"> </w:t>
      </w:r>
      <w:r w:rsidRPr="0080689F">
        <w:rPr>
          <w:rFonts w:ascii="Times New Roman" w:eastAsia="Times New Roman" w:hAnsi="Times New Roman" w:cs="Times New Roman"/>
          <w:i/>
          <w:iCs/>
          <w:color w:val="000000" w:themeColor="text1"/>
          <w:kern w:val="0"/>
          <w:sz w:val="28"/>
          <w:szCs w:val="28"/>
          <w:lang w:val="vi-VN"/>
          <w14:ligatures w14:val="none"/>
        </w:rPr>
        <w:t xml:space="preserve">- </w:t>
      </w:r>
      <w:r w:rsidRPr="0080689F">
        <w:rPr>
          <w:rFonts w:ascii="Times New Roman" w:eastAsia="Times New Roman" w:hAnsi="Times New Roman" w:cs="Times New Roman"/>
          <w:i/>
          <w:iCs/>
          <w:color w:val="000000" w:themeColor="text1"/>
          <w:kern w:val="0"/>
          <w:sz w:val="28"/>
          <w:szCs w:val="28"/>
          <w14:ligatures w14:val="none"/>
        </w:rPr>
        <w:t>Chữ ký số được sử dụng phổ biến hiện nay</w:t>
      </w:r>
    </w:p>
    <w:p w14:paraId="07B81027"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Chữ ký số USB Token là loại chữ ký số sử dụng chiếc USB ký số để tích hợp phần mềm. Đây được xem là chữ ký số được sử dụng phổ biến nhất hiện nay. </w:t>
      </w:r>
    </w:p>
    <w:p w14:paraId="3ECA10F6" w14:textId="12AAF84C" w:rsidR="003356CD" w:rsidRPr="0080689F" w:rsidRDefault="003356CD" w:rsidP="0024149C">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Để sử dụng chữ ký số USB Token, người dùng cần cài đặt tiện ích ký số trên máy tính. Khi sử dụng, USB sẽ được cắm trực tiếp vào máy tính. Tiếp theo, người dùng tiến hành đăng nhập vào chữ ký số của mình bằng một mã PIN bí mật và thực hiện các thao tác giao dịch.</w:t>
      </w:r>
    </w:p>
    <w:p w14:paraId="3CCFA0DD" w14:textId="17E6C69A"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Chữ ký số HSM</w:t>
      </w:r>
      <w:r w:rsidRPr="0080689F">
        <w:rPr>
          <w:rFonts w:ascii="Times New Roman" w:eastAsia="Times New Roman" w:hAnsi="Times New Roman" w:cs="Times New Roman"/>
          <w:b/>
          <w:bCs/>
          <w:color w:val="000000" w:themeColor="text1"/>
          <w:kern w:val="0"/>
          <w:sz w:val="28"/>
          <w:szCs w:val="28"/>
          <w:lang w:val="vi-VN"/>
          <w14:ligatures w14:val="none"/>
        </w:rPr>
        <w:t xml:space="preserve">- </w:t>
      </w:r>
      <w:r w:rsidRPr="0080689F">
        <w:rPr>
          <w:rFonts w:ascii="Times New Roman" w:eastAsia="Times New Roman" w:hAnsi="Times New Roman" w:cs="Times New Roman"/>
          <w:i/>
          <w:iCs/>
          <w:color w:val="000000" w:themeColor="text1"/>
          <w:kern w:val="0"/>
          <w:sz w:val="28"/>
          <w:szCs w:val="28"/>
          <w14:ligatures w14:val="none"/>
        </w:rPr>
        <w:t>cho phép thực hiện cùng lúc hàng ngàn chữ ký</w:t>
      </w:r>
    </w:p>
    <w:p w14:paraId="045B21F2"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Chữ ký số HSM (viết tắt của từ Hardware Security Module) là loại chữ ký số sử dụng thiết bị HSM để lưu trữ cặp khóa và chứng thư số. Loại chữ ký này sẽ được cài đặt cho các ứng dụng chữ ký số với yêu cầu tốc độ cao, đáp ứng việc xác thực và mã hóa ngay lập tức. </w:t>
      </w:r>
    </w:p>
    <w:p w14:paraId="3731E45B"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Hiện nay, để có thể cắm vào máy tính hoặc một thiết bị độc lập có kết nối mạng HSM sẽ được sản xuất ở dạng thức một thẻ PCMCIA hay card PCI. Đặc biệt, chữ ký HSM cho phép người dùng có thể cùng lúc thực hiện hàng nghìn chữ ký, thay vì 4 - 5 chữ ký như khi sử dụng USB Token. </w:t>
      </w:r>
    </w:p>
    <w:p w14:paraId="4DB61629" w14:textId="2F72EE3E"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Chữ ký số SmartCard </w:t>
      </w:r>
      <w:r w:rsidRPr="0080689F">
        <w:rPr>
          <w:rFonts w:ascii="Times New Roman" w:eastAsia="Times New Roman" w:hAnsi="Times New Roman" w:cs="Times New Roman"/>
          <w:b/>
          <w:bCs/>
          <w:color w:val="000000" w:themeColor="text1"/>
          <w:kern w:val="0"/>
          <w:sz w:val="28"/>
          <w:szCs w:val="28"/>
          <w:lang w:val="vi-VN"/>
          <w14:ligatures w14:val="none"/>
        </w:rPr>
        <w:t xml:space="preserve">- </w:t>
      </w:r>
      <w:r w:rsidRPr="0080689F">
        <w:rPr>
          <w:rFonts w:ascii="Times New Roman" w:eastAsia="Times New Roman" w:hAnsi="Times New Roman" w:cs="Times New Roman"/>
          <w:i/>
          <w:iCs/>
          <w:color w:val="000000" w:themeColor="text1"/>
          <w:kern w:val="0"/>
          <w:sz w:val="28"/>
          <w:szCs w:val="28"/>
          <w14:ligatures w14:val="none"/>
        </w:rPr>
        <w:t>giúp thực hiện ký số nhanh chóng ngay trên điện thoại di động</w:t>
      </w:r>
    </w:p>
    <w:p w14:paraId="5D7D075F"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Chữ ký số SmartCard là loại chữ số khác biệt hoàn toàn với USB Token và HSM bởi nó được tích hợp trên sim điện thoại. Nhờ đó, người dùng có thể nhanh chóng và dễ dàng thực hiện ký số ngay trên điện thoại di động của mình mọi lúc mọi nơi. </w:t>
      </w:r>
    </w:p>
    <w:p w14:paraId="2090B79B"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Tuy nhiên, chữ ký số SmartCard còn tồn tại hạn chế lớn nhất đó là phải phụ thuộc vào loại SIM mà nhà cung cấp lựa chọn. Đồng thời, khi thuê bao nằm ngoài vùng phủ sóng, người dùng cũng có thể phải chấp nhận một số rủi ro nhất định như không thể thực hiện ký số, ký số chậm,...</w:t>
      </w:r>
    </w:p>
    <w:p w14:paraId="0159BD68" w14:textId="21C9ADA9"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Chữ ký số từ xa</w:t>
      </w:r>
      <w:r w:rsidRPr="0080689F">
        <w:rPr>
          <w:rFonts w:ascii="Times New Roman" w:eastAsia="Times New Roman" w:hAnsi="Times New Roman" w:cs="Times New Roman"/>
          <w:b/>
          <w:bCs/>
          <w:color w:val="000000" w:themeColor="text1"/>
          <w:kern w:val="0"/>
          <w:sz w:val="28"/>
          <w:szCs w:val="28"/>
          <w:lang w:val="vi-VN"/>
          <w14:ligatures w14:val="none"/>
        </w:rPr>
        <w:t xml:space="preserve">- </w:t>
      </w:r>
      <w:r w:rsidRPr="0080689F">
        <w:rPr>
          <w:rFonts w:ascii="Times New Roman" w:eastAsia="Times New Roman" w:hAnsi="Times New Roman" w:cs="Times New Roman"/>
          <w:i/>
          <w:iCs/>
          <w:color w:val="000000" w:themeColor="text1"/>
          <w:kern w:val="0"/>
          <w:sz w:val="28"/>
          <w:szCs w:val="28"/>
          <w14:ligatures w14:val="none"/>
        </w:rPr>
        <w:t>mang đến nhiều lợi ích vượt trội cho người sử dụng</w:t>
      </w:r>
    </w:p>
    <w:p w14:paraId="6032DB81"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Chữ ký số từ xa (tiếng Anh là Remote Signature) là loại chữ ký số được sử dụng trên nền tảng công nghệ điện toán đám mây. Với chữ ký số này, người dùng có thể thực hiện ký số mọi lúc mọi nơi, như trên điện thoại, laptop, máy tính bảng,....</w:t>
      </w:r>
    </w:p>
    <w:p w14:paraId="1A1BE079"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lastRenderedPageBreak/>
        <w:t>Tuy vậy, loại chữ ký số này hiện này chưa thực sự được áp dụng rộng rãi. Bởi còn một số vấn đề liên quan đến bảo mật dữ liệu mà các nhà cung cấp đang nghiên cứu và phát triển.</w:t>
      </w:r>
    </w:p>
    <w:p w14:paraId="4A99EE33" w14:textId="031C26D6"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chính xác nhất. </w:t>
      </w:r>
    </w:p>
    <w:p w14:paraId="0E53F5DE" w14:textId="6940C88E" w:rsidR="003356CD" w:rsidRPr="0080689F" w:rsidRDefault="003356CD" w:rsidP="00E71244">
      <w:pPr>
        <w:ind w:firstLine="709"/>
        <w:jc w:val="both"/>
        <w:rPr>
          <w:rFonts w:ascii="Times New Roman" w:eastAsia="Times New Roman" w:hAnsi="Times New Roman" w:cs="Times New Roman"/>
          <w:b/>
          <w:bCs/>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lang w:val="vi-VN"/>
          <w14:ligatures w14:val="none"/>
        </w:rPr>
        <w:t>Những vướng</w:t>
      </w:r>
      <w:r w:rsidRPr="0080689F">
        <w:rPr>
          <w:rFonts w:ascii="Times New Roman" w:eastAsia="Times New Roman" w:hAnsi="Times New Roman" w:cs="Times New Roman"/>
          <w:b/>
          <w:bCs/>
          <w:color w:val="000000" w:themeColor="text1"/>
          <w:kern w:val="0"/>
          <w:sz w:val="28"/>
          <w:szCs w:val="28"/>
          <w14:ligatures w14:val="none"/>
        </w:rPr>
        <w:t xml:space="preserve"> mắc thường gặp liên quan đến chữ ký số  </w:t>
      </w:r>
    </w:p>
    <w:p w14:paraId="56CB167E" w14:textId="755ADA95" w:rsidR="003356CD" w:rsidRPr="0080689F" w:rsidRDefault="003356CD" w:rsidP="00E71244">
      <w:pPr>
        <w:ind w:firstLine="709"/>
        <w:jc w:val="both"/>
        <w:rPr>
          <w:rFonts w:ascii="Times New Roman" w:eastAsia="Times New Roman" w:hAnsi="Times New Roman" w:cs="Times New Roman"/>
          <w:b/>
          <w:bCs/>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1. Chữ ký số có bắt buộc không? </w:t>
      </w:r>
    </w:p>
    <w:p w14:paraId="482AB57E"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Trên thực tế, chữ ký số </w:t>
      </w:r>
      <w:r w:rsidRPr="0080689F">
        <w:rPr>
          <w:rFonts w:ascii="Times New Roman" w:eastAsia="Times New Roman" w:hAnsi="Times New Roman" w:cs="Times New Roman"/>
          <w:b/>
          <w:bCs/>
          <w:color w:val="000000" w:themeColor="text1"/>
          <w:kern w:val="0"/>
          <w:sz w:val="28"/>
          <w:szCs w:val="28"/>
          <w14:ligatures w14:val="none"/>
        </w:rPr>
        <w:t>hoàn toàn không bắt buộc</w:t>
      </w:r>
      <w:r w:rsidRPr="0080689F">
        <w:rPr>
          <w:rFonts w:ascii="Times New Roman" w:eastAsia="Times New Roman" w:hAnsi="Times New Roman" w:cs="Times New Roman"/>
          <w:color w:val="000000" w:themeColor="text1"/>
          <w:kern w:val="0"/>
          <w:sz w:val="28"/>
          <w:szCs w:val="28"/>
          <w14:ligatures w14:val="none"/>
        </w:rPr>
        <w:t>. Bởi theo căn cứ tại Khoản 3 Điều 26 Luật Doanh nghiệp 2020, pháp luật doanh nghiệp quy định trong quá trình thực hiện hoạt động kinh doanh, không bắt buộc doanh nghiệp phải sử dụng chữ ký số.   </w:t>
      </w:r>
    </w:p>
    <w:p w14:paraId="298174D2" w14:textId="39806EA8" w:rsidR="003356CD" w:rsidRPr="0080689F" w:rsidRDefault="003356CD" w:rsidP="00E71244">
      <w:pPr>
        <w:ind w:firstLine="709"/>
        <w:jc w:val="both"/>
        <w:rPr>
          <w:rFonts w:ascii="Times New Roman" w:eastAsia="Times New Roman" w:hAnsi="Times New Roman" w:cs="Times New Roman"/>
          <w:b/>
          <w:bCs/>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2. Ai được sử dụng chữ ký số</w:t>
      </w:r>
    </w:p>
    <w:p w14:paraId="666B7228"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Chữ ký số có thể được sử dụng bởi tất cả mọi cá nhân, tổ chức và doanh nghiệp. Hiện nay, có rất nhiều nhà cung cấp chữ ký số uy tín mà các cá nhân, doanh nghiệp, tổ chức có thể lựa chọn như chữ ký số VNPT, chữ ký số Viettel, chữ ký số Vina,....</w:t>
      </w:r>
    </w:p>
    <w:p w14:paraId="43074884" w14:textId="226DF109" w:rsidR="003356CD" w:rsidRPr="0080689F" w:rsidRDefault="003356CD" w:rsidP="00E71244">
      <w:pPr>
        <w:ind w:firstLine="709"/>
        <w:jc w:val="both"/>
        <w:rPr>
          <w:rFonts w:ascii="Times New Roman" w:eastAsia="Times New Roman" w:hAnsi="Times New Roman" w:cs="Times New Roman"/>
          <w:b/>
          <w:bCs/>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3. Chữ ký số có an toàn không?</w:t>
      </w:r>
    </w:p>
    <w:p w14:paraId="0975BD95"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Chữ ký số </w:t>
      </w:r>
      <w:r w:rsidRPr="0080689F">
        <w:rPr>
          <w:rFonts w:ascii="Times New Roman" w:eastAsia="Times New Roman" w:hAnsi="Times New Roman" w:cs="Times New Roman"/>
          <w:b/>
          <w:bCs/>
          <w:color w:val="000000" w:themeColor="text1"/>
          <w:kern w:val="0"/>
          <w:sz w:val="28"/>
          <w:szCs w:val="28"/>
          <w14:ligatures w14:val="none"/>
        </w:rPr>
        <w:t>tuyệt đối an toàn</w:t>
      </w:r>
      <w:r w:rsidRPr="0080689F">
        <w:rPr>
          <w:rFonts w:ascii="Times New Roman" w:eastAsia="Times New Roman" w:hAnsi="Times New Roman" w:cs="Times New Roman"/>
          <w:color w:val="000000" w:themeColor="text1"/>
          <w:kern w:val="0"/>
          <w:sz w:val="28"/>
          <w:szCs w:val="28"/>
          <w14:ligatures w14:val="none"/>
        </w:rPr>
        <w:t> trong quá trình sử dụng. Bởi một trong những đặc điểm của chữ ký số đó là tính bảo mật cao. Khi sử dụng, mỗi người dùng bắt buộc phải có một cặp khóa, bao gồm khóa công khai và khóa bí mật. </w:t>
      </w:r>
    </w:p>
    <w:p w14:paraId="04F6B781"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Khóa bí mật là loại khóa được dùng để tạo ra chữ ký số. Khóa công khai sẽ được sử dụng với mục đích kiểm tra chữ ký số được tạo bởi khóa bí mật tương ứng. </w:t>
      </w:r>
    </w:p>
    <w:p w14:paraId="07EA7016"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Vì vậy trong quá trình thực hiện ký số, mọi thông tin trong văn bản/tài liệu sẽ được bảo mật tuyệt đối. Đồng thời, văn bản/tài liệu này chỉ có thể được mở bởi một người duy nhất là người nhận được văn bản/tài liệu đã có ký số. </w:t>
      </w:r>
    </w:p>
    <w:p w14:paraId="47DAB384" w14:textId="6EC4AD13" w:rsidR="003356CD" w:rsidRPr="0080689F" w:rsidRDefault="003356CD" w:rsidP="00E71244">
      <w:pPr>
        <w:ind w:firstLine="709"/>
        <w:jc w:val="both"/>
        <w:rPr>
          <w:rFonts w:ascii="Times New Roman" w:eastAsia="Times New Roman" w:hAnsi="Times New Roman" w:cs="Times New Roman"/>
          <w:b/>
          <w:bCs/>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4. Mua chữ ký số ở đâu uy tín?</w:t>
      </w:r>
    </w:p>
    <w:p w14:paraId="2C259949"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Có thể nói rằng, chữ ký số xuất hiện và được ứng dụng trong thực tế đã mang đến rất nhiều lợi ích. Đặc biệt, lợi ích này sẽ được đảm bảo hoàn toàn nếu bạn tìm được địa chỉ cung cấp chữ ký số uy tín hàng đầu hiện nay như VNPT. </w:t>
      </w:r>
    </w:p>
    <w:p w14:paraId="39764030"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lastRenderedPageBreak/>
        <w:t>Tính từ năm 2009 đến hiện tại, VNPT vẫn được công nhận là đơn vị đầu tiên trên thị trường cung cấp giải pháp chữ ký số cho các cá nhân, doanh nghiệp và tổ chức nhà nước. Trong gần 13 năm hoạt động, chữ ký số của VNPT luôn giúp khách hàng giải quyết mọi nỗi lo liên quan đến tính toàn vẹn dữ liệu hay các vấn đề về mạo danh,....</w:t>
      </w:r>
    </w:p>
    <w:p w14:paraId="088953E6"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Từ đó giúp khách hàng yên tâm thực hiện mọi giao dịch một cách nhanh chóng và an toàn. Đồng thời đạt được những thỏa thuận, mục đích nhất định trong kinh doanh cũng như trong việc thực hiện các giao dịch với cơ quan nhà nước.</w:t>
      </w:r>
    </w:p>
    <w:p w14:paraId="17644598" w14:textId="1136379E"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hAnsi="Times New Roman" w:cs="Times New Roman"/>
          <w:noProof/>
          <w:color w:val="000000" w:themeColor="text1"/>
          <w:sz w:val="28"/>
          <w:szCs w:val="28"/>
        </w:rPr>
        <w:drawing>
          <wp:inline distT="0" distB="0" distL="0" distR="0" wp14:anchorId="6C32E49B" wp14:editId="6F28F46F">
            <wp:extent cx="5715000" cy="2657475"/>
            <wp:effectExtent l="0" t="0" r="0" b="9525"/>
            <wp:docPr id="1169701798" name="Picture 1" descr="trang chủ VNPT 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rang chủ VNPT CA"/>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15000" cy="2657475"/>
                    </a:xfrm>
                    <a:prstGeom prst="rect">
                      <a:avLst/>
                    </a:prstGeom>
                    <a:noFill/>
                    <a:ln>
                      <a:noFill/>
                    </a:ln>
                  </pic:spPr>
                </pic:pic>
              </a:graphicData>
            </a:graphic>
          </wp:inline>
        </w:drawing>
      </w:r>
    </w:p>
    <w:p w14:paraId="7CCEA40B" w14:textId="77777777" w:rsidR="003356CD" w:rsidRPr="0080689F" w:rsidRDefault="003356CD"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VNPT-CA là đơn vị đầu tiên được cung cấp dịch vụ chứng thực tại Việt Nam - Đảm bảo an toàn trên từng giao dịch</w:t>
      </w:r>
    </w:p>
    <w:p w14:paraId="1422DF66" w14:textId="6136CA6E" w:rsidR="003356CD" w:rsidRPr="000B0F3D" w:rsidRDefault="003356CD" w:rsidP="000B0F3D">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Đặc biệt, cho tới thời điểm hiện tại, VNPT vẫn giữ được vị trí là đơn vị đầu tiên và duy nhất được Bộ Thông tin và Truyền thông cấp phép lần thứ 3 về cung cấp dịch vụ chữ ký số VNPT-CA theo Nghị định 130/2018 NĐ-CP. </w:t>
      </w:r>
    </w:p>
    <w:p w14:paraId="3422F3EC" w14:textId="77777777" w:rsidR="00C0426D" w:rsidRPr="005E37EC"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b/>
          <w:bCs/>
          <w:color w:val="000000" w:themeColor="text1"/>
          <w:kern w:val="0"/>
          <w:sz w:val="28"/>
          <w:szCs w:val="28"/>
          <w:lang w:val="vi-VN"/>
          <w14:ligatures w14:val="none"/>
        </w:rPr>
        <w:t>Chữ ký số có giá trị pháp lý hay không?</w:t>
      </w:r>
    </w:p>
    <w:p w14:paraId="3BF48278" w14:textId="77777777" w:rsidR="00C0426D" w:rsidRPr="005E37EC"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color w:val="000000" w:themeColor="text1"/>
          <w:kern w:val="0"/>
          <w:sz w:val="28"/>
          <w:szCs w:val="28"/>
          <w:lang w:val="vi-VN"/>
          <w14:ligatures w14:val="none"/>
        </w:rPr>
        <w:t>Căn cứ </w:t>
      </w:r>
      <w:hyperlink r:id="rId11" w:tgtFrame="_blank" w:history="1">
        <w:r w:rsidRPr="005E37EC">
          <w:rPr>
            <w:rFonts w:ascii="Times New Roman" w:eastAsia="Times New Roman" w:hAnsi="Times New Roman" w:cs="Times New Roman"/>
            <w:color w:val="000000" w:themeColor="text1"/>
            <w:kern w:val="0"/>
            <w:sz w:val="28"/>
            <w:szCs w:val="28"/>
            <w:u w:val="single"/>
            <w:lang w:val="vi-VN"/>
            <w14:ligatures w14:val="none"/>
          </w:rPr>
          <w:t>Điều 8 Nghị định 130/2018/NĐ-CP</w:t>
        </w:r>
      </w:hyperlink>
      <w:r w:rsidRPr="005E37EC">
        <w:rPr>
          <w:rFonts w:ascii="Times New Roman" w:eastAsia="Times New Roman" w:hAnsi="Times New Roman" w:cs="Times New Roman"/>
          <w:color w:val="000000" w:themeColor="text1"/>
          <w:kern w:val="0"/>
          <w:sz w:val="28"/>
          <w:szCs w:val="28"/>
          <w:lang w:val="vi-VN"/>
          <w14:ligatures w14:val="none"/>
        </w:rPr>
        <w:t> quy định về giá trị pháp lý của chữ ký số như sau:</w:t>
      </w:r>
    </w:p>
    <w:p w14:paraId="2E3E185A" w14:textId="77777777" w:rsidR="00C0426D" w:rsidRPr="005E37EC"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i/>
          <w:iCs/>
          <w:color w:val="000000" w:themeColor="text1"/>
          <w:kern w:val="0"/>
          <w:sz w:val="28"/>
          <w:szCs w:val="28"/>
          <w:lang w:val="vi-VN"/>
          <w14:ligatures w14:val="none"/>
        </w:rPr>
        <w:t>“Điều 8. Giá trị pháp lý của chữ ký số</w:t>
      </w:r>
    </w:p>
    <w:p w14:paraId="1F38F79C" w14:textId="77777777" w:rsidR="00C0426D" w:rsidRPr="005E37EC"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i/>
          <w:iCs/>
          <w:color w:val="000000" w:themeColor="text1"/>
          <w:kern w:val="0"/>
          <w:sz w:val="28"/>
          <w:szCs w:val="28"/>
          <w:lang w:val="vi-VN"/>
          <w14:ligatures w14:val="none"/>
        </w:rPr>
        <w:t>1. Trong trường hợp pháp luật quy định văn bản cần có chữ ký thì yêu cầu đối với một thông điệp dữ liệu được xem là đáp ứng nếu thông điệp dữ liệu đó được ký bằng chữ ký số và chữ ký số đó được đảm bảo an toàn theo quy định tại Điều 9 Nghị định này.</w:t>
      </w:r>
    </w:p>
    <w:p w14:paraId="677FD703" w14:textId="77777777" w:rsidR="00C0426D" w:rsidRPr="005E37EC"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i/>
          <w:iCs/>
          <w:color w:val="000000" w:themeColor="text1"/>
          <w:kern w:val="0"/>
          <w:sz w:val="28"/>
          <w:szCs w:val="28"/>
          <w:lang w:val="vi-VN"/>
          <w14:ligatures w14:val="none"/>
        </w:rPr>
        <w:lastRenderedPageBreak/>
        <w:t>2. Trong trường hợp pháp luật quy định văn bản cần được đóng dấu của cơ quan tổ chức thì yêu cầu đó đối với một thông điệp dữ liệu được xem là đáp ứng nếu thông điệp dữ liệu đó được ký bởi chữ ký số cơ quan, tổ chức và chữ ký số đó được đảm bảo an toàn theo quy định tại Điều 9 Nghị định này.</w:t>
      </w:r>
    </w:p>
    <w:p w14:paraId="2E6888E6" w14:textId="77777777" w:rsidR="00C0426D" w:rsidRPr="005E37EC"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i/>
          <w:iCs/>
          <w:color w:val="000000" w:themeColor="text1"/>
          <w:kern w:val="0"/>
          <w:sz w:val="28"/>
          <w:szCs w:val="28"/>
          <w:lang w:val="vi-VN"/>
          <w14:ligatures w14:val="none"/>
        </w:rPr>
        <w:t>3. Chữ ký số và chứng thư số nước ngoài được cấp giấy phép sử dụng tại Việt Nam theo quy định tại Chương V Nghị định này có giá trị pháp lý và hiệu lực như chữ ký số và chứng thư số do tổ chức cung cấp dịch vụ chứng thực chữ ký số công cộng của Việt Nam cấp.”</w:t>
      </w:r>
    </w:p>
    <w:p w14:paraId="1420DCA3" w14:textId="0E00D939" w:rsidR="00C0426D" w:rsidRPr="005E37EC" w:rsidRDefault="00C0426D" w:rsidP="000B0F3D">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color w:val="000000" w:themeColor="text1"/>
          <w:kern w:val="0"/>
          <w:sz w:val="28"/>
          <w:szCs w:val="28"/>
          <w:lang w:val="vi-VN"/>
          <w14:ligatures w14:val="none"/>
        </w:rPr>
        <w:t>Nếu thuộc một trong các trường hợp trên thì </w:t>
      </w:r>
      <w:hyperlink r:id="rId12" w:tgtFrame="_blank" w:history="1">
        <w:r w:rsidRPr="005E37EC">
          <w:rPr>
            <w:rFonts w:ascii="Times New Roman" w:eastAsia="Times New Roman" w:hAnsi="Times New Roman" w:cs="Times New Roman"/>
            <w:color w:val="000000" w:themeColor="text1"/>
            <w:kern w:val="0"/>
            <w:sz w:val="28"/>
            <w:szCs w:val="28"/>
            <w:u w:val="single"/>
            <w:lang w:val="vi-VN"/>
            <w14:ligatures w14:val="none"/>
          </w:rPr>
          <w:t>chữ ký số</w:t>
        </w:r>
      </w:hyperlink>
      <w:r w:rsidRPr="005E37EC">
        <w:rPr>
          <w:rFonts w:ascii="Times New Roman" w:eastAsia="Times New Roman" w:hAnsi="Times New Roman" w:cs="Times New Roman"/>
          <w:color w:val="000000" w:themeColor="text1"/>
          <w:kern w:val="0"/>
          <w:sz w:val="28"/>
          <w:szCs w:val="28"/>
          <w:lang w:val="vi-VN"/>
          <w14:ligatures w14:val="none"/>
        </w:rPr>
        <w:t> có giá trị pháp lý như chữ ký thường.</w:t>
      </w:r>
    </w:p>
    <w:p w14:paraId="4BBD0C8A" w14:textId="0A8C8A23" w:rsidR="00C0426D" w:rsidRPr="0080689F"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i/>
          <w:iCs/>
          <w:color w:val="000000" w:themeColor="text1"/>
          <w:kern w:val="0"/>
          <w:sz w:val="28"/>
          <w:szCs w:val="28"/>
          <w:lang w:val="vi-VN"/>
          <w14:ligatures w14:val="none"/>
        </w:rPr>
        <w:t>Giá trị pháp lý của chữ ký số</w:t>
      </w:r>
      <w:r w:rsidRPr="0080689F">
        <w:rPr>
          <w:rFonts w:ascii="Times New Roman" w:eastAsia="Times New Roman" w:hAnsi="Times New Roman" w:cs="Times New Roman"/>
          <w:i/>
          <w:iCs/>
          <w:color w:val="000000" w:themeColor="text1"/>
          <w:kern w:val="0"/>
          <w:sz w:val="28"/>
          <w:szCs w:val="28"/>
          <w:lang w:val="vi-VN"/>
          <w14:ligatures w14:val="none"/>
        </w:rPr>
        <w:t xml:space="preserve"> trong ký kết hợp đồng điện tử</w:t>
      </w:r>
    </w:p>
    <w:p w14:paraId="2E96F43C" w14:textId="11486B80" w:rsidR="00C0426D" w:rsidRPr="005E37EC"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b/>
          <w:bCs/>
          <w:color w:val="000000" w:themeColor="text1"/>
          <w:kern w:val="0"/>
          <w:sz w:val="28"/>
          <w:szCs w:val="28"/>
          <w:lang w:val="vi-VN"/>
          <w14:ligatures w14:val="none"/>
        </w:rPr>
        <w:t>Nguyên tắc sử dụng chữ ký số như thế nào?</w:t>
      </w:r>
    </w:p>
    <w:p w14:paraId="70245D10" w14:textId="77777777" w:rsidR="00C0426D" w:rsidRPr="005E37EC"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color w:val="000000" w:themeColor="text1"/>
          <w:kern w:val="0"/>
          <w:sz w:val="28"/>
          <w:szCs w:val="28"/>
          <w:lang w:val="vi-VN"/>
          <w14:ligatures w14:val="none"/>
        </w:rPr>
        <w:t>Theo </w:t>
      </w:r>
      <w:hyperlink r:id="rId13" w:tgtFrame="_blank" w:history="1">
        <w:r w:rsidRPr="005E37EC">
          <w:rPr>
            <w:rFonts w:ascii="Times New Roman" w:eastAsia="Times New Roman" w:hAnsi="Times New Roman" w:cs="Times New Roman"/>
            <w:color w:val="000000" w:themeColor="text1"/>
            <w:kern w:val="0"/>
            <w:sz w:val="28"/>
            <w:szCs w:val="28"/>
            <w:lang w:val="vi-VN"/>
            <w14:ligatures w14:val="none"/>
          </w:rPr>
          <w:t>Điều 23 Luật Giao dịch điện tử 2005</w:t>
        </w:r>
      </w:hyperlink>
      <w:r w:rsidRPr="005E37EC">
        <w:rPr>
          <w:rFonts w:ascii="Times New Roman" w:eastAsia="Times New Roman" w:hAnsi="Times New Roman" w:cs="Times New Roman"/>
          <w:color w:val="000000" w:themeColor="text1"/>
          <w:kern w:val="0"/>
          <w:sz w:val="28"/>
          <w:szCs w:val="28"/>
          <w:lang w:val="vi-VN"/>
          <w14:ligatures w14:val="none"/>
        </w:rPr>
        <w:t> quy định nguyên tắc sử dụng chữ ký số như sau:</w:t>
      </w:r>
    </w:p>
    <w:p w14:paraId="3E1322A7" w14:textId="77777777" w:rsidR="00C0426D" w:rsidRPr="005E37EC"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i/>
          <w:iCs/>
          <w:color w:val="000000" w:themeColor="text1"/>
          <w:kern w:val="0"/>
          <w:sz w:val="28"/>
          <w:szCs w:val="28"/>
          <w:lang w:val="vi-VN"/>
          <w14:ligatures w14:val="none"/>
        </w:rPr>
        <w:t>"Điều 23. Nguyên tắc sử dụng chữ ký điện tử</w:t>
      </w:r>
    </w:p>
    <w:p w14:paraId="7F25339C" w14:textId="77777777" w:rsidR="00C0426D" w:rsidRPr="005E37EC"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5E37EC">
        <w:rPr>
          <w:rFonts w:ascii="Times New Roman" w:eastAsia="Times New Roman" w:hAnsi="Times New Roman" w:cs="Times New Roman"/>
          <w:i/>
          <w:iCs/>
          <w:color w:val="000000" w:themeColor="text1"/>
          <w:kern w:val="0"/>
          <w:sz w:val="28"/>
          <w:szCs w:val="28"/>
          <w:lang w:val="vi-VN"/>
          <w14:ligatures w14:val="none"/>
        </w:rPr>
        <w:t>1. Trừ trường hợp pháp luật có quy định khác, các bên tham gia giao dịch điện tử có quyền thỏa thuận:</w:t>
      </w:r>
    </w:p>
    <w:p w14:paraId="5139EACC"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a) Sử dụng hoặc không sử dụng chữ ký điện tử để ký thông điệp dữ liệu trong quá trình giao dịch;</w:t>
      </w:r>
    </w:p>
    <w:p w14:paraId="35F16927"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b) Sử dụng hoặc không sử dụng chữ ký điện tử có chứng thực;</w:t>
      </w:r>
    </w:p>
    <w:p w14:paraId="095BDD3B"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c) Lựa chọn tổ chức cung cấp dịch vụ chứng thực chữ ký điện tử trong trường hợp thỏa thuận sử dụng chữ ký điện tử có chứng thực.</w:t>
      </w:r>
    </w:p>
    <w:p w14:paraId="2442CEAB"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2. Chữ ký điện tử của cơ quan nhà nước phải được chứng thực bởi tổ chức cung cấp dịch vụ chứng thực chữ ký điện tử do cơ quan nhà nước có thẩm quyền quy định."</w:t>
      </w:r>
    </w:p>
    <w:p w14:paraId="31FF2C5F"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Theo đó, trong trường hợp này thì các bên có thể thỏa thuận về việc sử dụng chữ ký số trong các giao dịch và chữ ký số đó cần đảm bảo quy định về giá trị của chữ ký số là được.</w:t>
      </w:r>
    </w:p>
    <w:p w14:paraId="2555FF79"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Điều kiện đảm bảo an toàn cho chữ ký số là gì?</w:t>
      </w:r>
    </w:p>
    <w:p w14:paraId="6F3678F4"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Căn cứ tại </w:t>
      </w:r>
      <w:hyperlink r:id="rId14" w:tgtFrame="_blank" w:history="1">
        <w:r w:rsidRPr="000B0F3D">
          <w:rPr>
            <w:rFonts w:ascii="Times New Roman" w:eastAsia="Times New Roman" w:hAnsi="Times New Roman" w:cs="Times New Roman"/>
            <w:color w:val="000000" w:themeColor="text1"/>
            <w:kern w:val="0"/>
            <w:sz w:val="28"/>
            <w:szCs w:val="28"/>
            <w:lang w:val="vi-VN"/>
            <w14:ligatures w14:val="none"/>
          </w:rPr>
          <w:t>Điều 9 Nghị định 130/2018/NĐ-CP</w:t>
        </w:r>
      </w:hyperlink>
      <w:r w:rsidRPr="000B0F3D">
        <w:rPr>
          <w:rFonts w:ascii="Times New Roman" w:eastAsia="Times New Roman" w:hAnsi="Times New Roman" w:cs="Times New Roman"/>
          <w:color w:val="000000" w:themeColor="text1"/>
          <w:kern w:val="0"/>
          <w:sz w:val="28"/>
          <w:szCs w:val="28"/>
          <w:lang w:val="vi-VN"/>
          <w14:ligatures w14:val="none"/>
        </w:rPr>
        <w:t> quy định về điều kiện đảm bảo an toàn cho chữ ký số như sau:</w:t>
      </w:r>
    </w:p>
    <w:p w14:paraId="17CB2B18"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Chữ ký số được xem là chữ ký điện tử an toàn khi đáp ứng các điều kiện sau:</w:t>
      </w:r>
    </w:p>
    <w:p w14:paraId="6840F455"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Chữ ký số được tạo ra trong thời gian chứng thư số có hiệu lực và kiểm tra được bằng khóa công khai ghi trên chứng thư số đó.</w:t>
      </w:r>
    </w:p>
    <w:p w14:paraId="1EEA5F0F"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Chữ ký số được tạo ra bằng việc sử dụng khóa bí mật tương ứng với khóa công khai ghi trên chứng thư số do một trong các tổ chức sau đây cấp:</w:t>
      </w:r>
    </w:p>
    <w:p w14:paraId="204D97CB"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Tổ chức cung cấp dịch vụ chứng thực chữ ký số quốc gia;</w:t>
      </w:r>
    </w:p>
    <w:p w14:paraId="5BC51C50"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Tổ chức cung cấp dịch vụ chứng thực chữ ký số chuyên dùng Chính phủ;</w:t>
      </w:r>
    </w:p>
    <w:p w14:paraId="33DC1389"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Tổ chức cung cấp dịch vụ chứng thực chữ ký số công cộng;</w:t>
      </w:r>
    </w:p>
    <w:p w14:paraId="1CE64CE2"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Tổ chức cung cấp dịch vụ chứng thực chữ ký số chuyên dùng của các cơ quan, tổ chức được cấp giấy chứng nhận đủ điều kiện đảm bảo an toàn cho chữ ký số chuyên dùng được quy định tại Điều 40 của Nghị định này.</w:t>
      </w:r>
    </w:p>
    <w:p w14:paraId="4A2032F9"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Khóa bí mật chỉ thuộc sự kiểm soát của người ký tại thời điểm ký.</w:t>
      </w:r>
    </w:p>
    <w:p w14:paraId="50504F20" w14:textId="77777777" w:rsidR="00C0426D" w:rsidRPr="000B0F3D" w:rsidRDefault="00C0426D"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Theo đó, để chữ ký số có giá trị pháp lý thì cần đảm bảo các điều kiện trên và hiện này chữ ký số cũng đã được pháp luật công nhận tính pháp lý và có giá trị tương đương với chữ ký tay và con dấu. Do đó, các hợp đồng và chứng từ sử dụng chữ kỹ số đảm bảo các điều kiện trên thì hợp đồng, chứng từ là hợp lệ và có thể lưu hồ sơ đơn vị bình thường.</w:t>
      </w:r>
    </w:p>
    <w:p w14:paraId="4D615459" w14:textId="77777777" w:rsidR="00E71244" w:rsidRPr="000B0F3D" w:rsidRDefault="00E71244" w:rsidP="00E71244">
      <w:pPr>
        <w:ind w:firstLine="709"/>
        <w:jc w:val="both"/>
        <w:rPr>
          <w:rFonts w:ascii="Times New Roman" w:eastAsia="Times New Roman" w:hAnsi="Times New Roman" w:cs="Times New Roman"/>
          <w:b/>
          <w:bCs/>
          <w:color w:val="000000" w:themeColor="text1"/>
          <w:kern w:val="36"/>
          <w:sz w:val="28"/>
          <w:szCs w:val="28"/>
          <w:lang w:val="vi-VN"/>
          <w14:ligatures w14:val="none"/>
        </w:rPr>
      </w:pPr>
      <w:r w:rsidRPr="000B0F3D">
        <w:rPr>
          <w:rFonts w:ascii="Times New Roman" w:eastAsia="Times New Roman" w:hAnsi="Times New Roman" w:cs="Times New Roman"/>
          <w:b/>
          <w:bCs/>
          <w:color w:val="000000" w:themeColor="text1"/>
          <w:kern w:val="36"/>
          <w:sz w:val="28"/>
          <w:szCs w:val="28"/>
          <w:lang w:val="vi-VN"/>
          <w14:ligatures w14:val="none"/>
        </w:rPr>
        <w:br w:type="page"/>
      </w:r>
    </w:p>
    <w:p w14:paraId="7D9A5B4E" w14:textId="22B7E488" w:rsidR="003B5CA5" w:rsidRPr="000B0F3D" w:rsidRDefault="00E71244" w:rsidP="00E71244">
      <w:pPr>
        <w:ind w:firstLine="709"/>
        <w:jc w:val="center"/>
        <w:rPr>
          <w:rFonts w:ascii="Times New Roman" w:eastAsia="Times New Roman" w:hAnsi="Times New Roman" w:cs="Times New Roman"/>
          <w:b/>
          <w:bCs/>
          <w:color w:val="000000" w:themeColor="text1"/>
          <w:kern w:val="36"/>
          <w:sz w:val="28"/>
          <w:szCs w:val="28"/>
          <w:lang w:val="vi-VN"/>
          <w14:ligatures w14:val="none"/>
        </w:rPr>
      </w:pPr>
      <w:r w:rsidRPr="000B0F3D">
        <w:rPr>
          <w:rFonts w:ascii="Times New Roman" w:eastAsia="Times New Roman" w:hAnsi="Times New Roman" w:cs="Times New Roman"/>
          <w:b/>
          <w:bCs/>
          <w:color w:val="000000" w:themeColor="text1"/>
          <w:kern w:val="36"/>
          <w:sz w:val="28"/>
          <w:szCs w:val="28"/>
          <w:lang w:val="vi-VN"/>
          <w14:ligatures w14:val="none"/>
        </w:rPr>
        <w:lastRenderedPageBreak/>
        <w:t>MỘT SỐ KHÍA CẠNH PHÁP LÝ TRONG LĨNH VỰC LUẬT TƯ KHI ỨNG DỤNG TRÍ TUỆ NHÂN TẠO</w:t>
      </w:r>
    </w:p>
    <w:p w14:paraId="25ADC9F5" w14:textId="0BDDC4AF" w:rsidR="003B5CA5" w:rsidRPr="00631C73" w:rsidRDefault="00631C73" w:rsidP="00E71244">
      <w:pPr>
        <w:ind w:firstLine="709"/>
        <w:jc w:val="right"/>
        <w:rPr>
          <w:rFonts w:ascii="Times New Roman" w:eastAsia="Times New Roman" w:hAnsi="Times New Roman" w:cs="Times New Roman"/>
          <w:color w:val="000000" w:themeColor="text1"/>
          <w:kern w:val="0"/>
          <w:sz w:val="28"/>
          <w:szCs w:val="28"/>
          <w:lang w:val="vi-VN"/>
          <w14:ligatures w14:val="none"/>
        </w:rPr>
      </w:pPr>
      <w:r w:rsidRPr="00631C73">
        <w:rPr>
          <w:rFonts w:ascii="Times New Roman" w:eastAsia="Times New Roman" w:hAnsi="Times New Roman" w:cs="Times New Roman"/>
          <w:b/>
          <w:bCs/>
          <w:color w:val="000000" w:themeColor="text1"/>
          <w:kern w:val="0"/>
          <w:sz w:val="28"/>
          <w:szCs w:val="28"/>
          <w:bdr w:val="none" w:sz="0" w:space="0" w:color="auto" w:frame="1"/>
          <w:lang w:val="vi-VN"/>
          <w14:ligatures w14:val="none"/>
        </w:rPr>
        <w:t>PGS.TS. Nguyễn Thị Quế Anh</w:t>
      </w:r>
    </w:p>
    <w:p w14:paraId="172970FB" w14:textId="1B3B32CE" w:rsidR="003B5CA5" w:rsidRPr="00631C73" w:rsidRDefault="00631C73" w:rsidP="00E71244">
      <w:pPr>
        <w:ind w:firstLine="709"/>
        <w:jc w:val="right"/>
        <w:rPr>
          <w:rFonts w:ascii="Times New Roman" w:eastAsia="Times New Roman" w:hAnsi="Times New Roman" w:cs="Times New Roman"/>
          <w:color w:val="000000" w:themeColor="text1"/>
          <w:kern w:val="0"/>
          <w:sz w:val="28"/>
          <w:szCs w:val="28"/>
          <w:lang w:val="vi-VN"/>
          <w14:ligatures w14:val="none"/>
        </w:rPr>
      </w:pPr>
      <w:r w:rsidRPr="00631C73">
        <w:rPr>
          <w:rFonts w:ascii="Times New Roman" w:eastAsia="Times New Roman" w:hAnsi="Times New Roman" w:cs="Times New Roman"/>
          <w:b/>
          <w:bCs/>
          <w:color w:val="000000" w:themeColor="text1"/>
          <w:kern w:val="0"/>
          <w:sz w:val="28"/>
          <w:szCs w:val="28"/>
          <w:bdr w:val="none" w:sz="0" w:space="0" w:color="auto" w:frame="1"/>
          <w:lang w:val="vi-VN"/>
          <w14:ligatures w14:val="none"/>
        </w:rPr>
        <w:t>Trường Đại học Luật - ĐHQGHN</w:t>
      </w:r>
    </w:p>
    <w:p w14:paraId="2BE010C5"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bdr w:val="none" w:sz="0" w:space="0" w:color="auto" w:frame="1"/>
          <w:lang w:val="vi-VN"/>
          <w14:ligatures w14:val="none"/>
        </w:rPr>
        <w:t>1. Địa vị pháp lý của trí tuệ nhân tạo</w:t>
      </w:r>
    </w:p>
    <w:p w14:paraId="4DF02943" w14:textId="27E5334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Sự tham gia ngày càng phổ biến của các công nghệ mới trong các lĩnh vực của đời sống con người đang đặt ra bài toán về mối quan hệ giữa chúng với con người tự nhiên. Thông tin đến nay cho thấy, những công nghệ mới hoàn toàn có thể thay thế con người trong việc “tư duy” và “quyết định hành động” (như trí tuệ nhân tạo - TTNT). Điều đó có nghĩa là con người đang đứng trước những mối quan hệ pháp lý mới hoàn toàn khác so với những thực thể pháp lý chúng ta đã từng gặp như các pháp nhân, thậm chí cả các giao dịch điện tử (hợp đồng điện tử, chữ ký điện tử,…). Bởi vì, cho đến nay, dù có tư cách pháp lý riêng nhưng các pháp nhân hay các hình thức giao dịch điện tử vẫn phải được thực hiện thông qua hành vi của con người. Trong khi đó, sự xuất hiện của các trí tuệ nhân tạo sẽ có thể không cần tới, thậm chí, không thể bị điều khiển bởi ý chí của con người. Minh chứng điển hình là hồi cuối tháng 7/2017, hai chương trình trí tuệ nhân tạo do các kỹ sư Facebook phát triển đã tự tạo ra một ngôn ngữ riêng để liên lạc với nhau mà không kỹ sư nào hiểu được nội dung giao tiếp đó, dù rằng sau đó các nhà nghiên cứu nói rằng “có thể hiểu được kết quả của cuộc hội thoại”.</w:t>
      </w:r>
    </w:p>
    <w:p w14:paraId="116BC510" w14:textId="2E22C9AB"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Liên minh Châu Âu cũng rất chú trọng phát triển lĩnh vực TTNT. Năm 2012, Ủy ban Châu Âu đã khởi xướng dự án Robolaw</w:t>
      </w:r>
      <w:r w:rsidR="00575417" w:rsidRPr="00575417">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nhằm hệ thống hóa và phân tích các biện pháp quản lý hiện có trong lĩnh vực robot. Các nhà nghiên cứu trong khuôn khổ dự án đã đề cập đến các vấn đề về thuật ngữ, quy phạm pháp luật và đạo đức. Kết quả của hoạt động này đã góp phần tạo cơ sở cho Nghị viện Châu Âu ban hành Nghị quyết số 2015/2103 ngày 16/02/2017 về “Bộ quy tắc về quyền dân sự đối với robot” (Nghị quyết số 2015/2103</w:t>
      </w:r>
      <w:r w:rsidR="00575417" w:rsidRPr="00575417">
        <w:rPr>
          <w:rFonts w:ascii="Times New Roman" w:eastAsia="Times New Roman" w:hAnsi="Times New Roman" w:cs="Times New Roman"/>
          <w:color w:val="000000" w:themeColor="text1"/>
          <w:kern w:val="0"/>
          <w:sz w:val="28"/>
          <w:szCs w:val="28"/>
          <w:lang w:val="vi-VN"/>
          <w14:ligatures w14:val="none"/>
        </w:rPr>
        <w:t>)</w:t>
      </w:r>
      <w:r w:rsidRPr="000B0F3D">
        <w:rPr>
          <w:rFonts w:ascii="Times New Roman" w:eastAsia="Times New Roman" w:hAnsi="Times New Roman" w:cs="Times New Roman"/>
          <w:color w:val="000000" w:themeColor="text1"/>
          <w:kern w:val="0"/>
          <w:sz w:val="28"/>
          <w:szCs w:val="28"/>
          <w:lang w:val="vi-VN"/>
          <w14:ligatures w14:val="none"/>
        </w:rPr>
        <w:t>. Nghị quyết bao gồm hướng dẫn về cách tiếp cận để xác định các thuật ngữ cơ bản về robot, xác định nội dung và các vấn đề quan trọng khác trong lĩnh vực này, kiến nghị thành lập Cơ quan Châu Âu về kỹ thuật robot và TTNT, giới thiệu địa vị của "nhân cách điện tử" đối với robot. Mặc dù không phải tất cả những sáng kiến nêu trên đều được triển khai trên thực tế, nhưng có thể khẳng định rằng, Nghị quyết số 2015/2103 được xem như một điển hình của một dạng luật “mềm” và nhiều điều khoản của nó có thể được tiếp tục xem xét đến trong tương lai.</w:t>
      </w:r>
    </w:p>
    <w:p w14:paraId="6E73A27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Những động thái nêu trên cho thấy, xu hướng mở rộng phạm vi chủ thể của các quyền thay vì chỉ dành cho chủ thể truyền thống là các cá nhân con người. Xu hướng đó đang đặt ra một số câu hỏi như: Có hay không việc phân biệt địa vị pháp lý giữa con người với người máy tương tự như đã từng tồn tại giữa chủ nô và nô lệ trước đây? Pháp luật có cách thức nào để dung hòa sự khác biệt về nhu cầu giữa con người với các thực thể mang trí tuệ nhân tạo? Liệu có khả năng các trí tuệ nhân tạo trở thành thành viên của hội đồng xét xử tại tòa án với tư cách là “bồi thẩm đoàn”?... Ngoài ra, nghĩa vụ pháp lý của người máy cũng là một thách thức đặt ra đối với lập pháp trong bối cảnh mới. Rõ ràng, chúng ta không thể truy cứu robot trách nhiệm pháp lý giống như đối với pháp nhân khi xảy ra một thiệt hại nào đó. Bởi lẽ, xét đến cùng, trách nhiệm của pháp nhân vẫn phải được thực thi bởi những con người đại diện cho pháp nhân đó, còn người máy thì có thể không cần đến người đại diện.</w:t>
      </w:r>
    </w:p>
    <w:p w14:paraId="652DB801" w14:textId="4E118E32"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xml:space="preserve">Tại Việt Nam, Chiến lược Quốc gia về nghiên cứu, phát triển và ứng dụng TTNT đến năm 2030 xác định </w:t>
      </w:r>
      <w:r w:rsidR="000A2965" w:rsidRPr="000A2965">
        <w:rPr>
          <w:rFonts w:ascii="Times New Roman" w:eastAsia="Times New Roman" w:hAnsi="Times New Roman" w:cs="Times New Roman"/>
          <w:color w:val="000000" w:themeColor="text1"/>
          <w:kern w:val="0"/>
          <w:sz w:val="28"/>
          <w:szCs w:val="28"/>
          <w:lang w:val="vi-VN"/>
          <w14:ligatures w14:val="none"/>
        </w:rPr>
        <w:t>đây</w:t>
      </w:r>
      <w:r w:rsidRPr="000B0F3D">
        <w:rPr>
          <w:rFonts w:ascii="Times New Roman" w:eastAsia="Times New Roman" w:hAnsi="Times New Roman" w:cs="Times New Roman"/>
          <w:color w:val="000000" w:themeColor="text1"/>
          <w:kern w:val="0"/>
          <w:sz w:val="28"/>
          <w:szCs w:val="28"/>
          <w:lang w:val="vi-VN"/>
          <w14:ligatures w14:val="none"/>
        </w:rPr>
        <w:t xml:space="preserve"> là một lĩnh vực công nghệ nền tảng của cách mạng công nghiệp lần thứ tư, góp phần quan trọng tạo bước phát triển đột phá về năng lực sản xuất, nâng cao năng lực cạnh tranh quốc gia, thúc đẩy phát triển kinh tế tăng trưởng bền vững. Tuy nhiên, Việt Nam chưa quan tâm đúng mức đến việc xây dựng khung pháp lý điều chỉnh quan hệ mới phát sinh này. Hệ thống pháp luật Việt Nam vẫn chỉ điều chỉnh các quan hệ xã hội truyền thống liên quan đến thể nhân, pháp nhân, tổ chức không có tư cách pháp nhân. Không gian pháp lý dành cho các quan hệ pháp luật có sự tham gia của công nghệ còn hẹp. Do vậy, để theo kịp với nhu cầu thực tế phát triển, trên cơ sở kinh nghiệm lập pháp của các quốc gia phát triển, Việt Nam cần nghiên cứu xây dựng khung pháp lý phù hợp nhằm điều chỉnh các quan hệ liên quan đến phát triển và ứng dụng TTNT.</w:t>
      </w:r>
    </w:p>
    <w:p w14:paraId="25F8DE80" w14:textId="2DABC52B"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bdr w:val="none" w:sz="0" w:space="0" w:color="auto" w:frame="1"/>
          <w:lang w:val="vi-VN"/>
          <w14:ligatures w14:val="none"/>
        </w:rPr>
        <w:t>2. Vấn đề an toàn</w:t>
      </w:r>
      <w:r w:rsidR="000A2965" w:rsidRPr="000A2965">
        <w:rPr>
          <w:rFonts w:ascii="Times New Roman" w:eastAsia="Times New Roman" w:hAnsi="Times New Roman" w:cs="Times New Roman"/>
          <w:b/>
          <w:bCs/>
          <w:color w:val="000000" w:themeColor="text1"/>
          <w:kern w:val="0"/>
          <w:sz w:val="28"/>
          <w:szCs w:val="28"/>
          <w:bdr w:val="none" w:sz="0" w:space="0" w:color="auto" w:frame="1"/>
          <w:lang w:val="vi-VN"/>
          <w14:ligatures w14:val="none"/>
        </w:rPr>
        <w:t>,</w:t>
      </w:r>
      <w:r w:rsidRPr="000B0F3D">
        <w:rPr>
          <w:rFonts w:ascii="Times New Roman" w:eastAsia="Times New Roman" w:hAnsi="Times New Roman" w:cs="Times New Roman"/>
          <w:b/>
          <w:bCs/>
          <w:color w:val="000000" w:themeColor="text1"/>
          <w:kern w:val="0"/>
          <w:sz w:val="28"/>
          <w:szCs w:val="28"/>
          <w:bdr w:val="none" w:sz="0" w:space="0" w:color="auto" w:frame="1"/>
          <w:lang w:val="vi-VN"/>
          <w14:ligatures w14:val="none"/>
        </w:rPr>
        <w:t xml:space="preserve"> trách nhiệm pháp lý trong ứng dụng trí tuệ nhân tạo</w:t>
      </w:r>
    </w:p>
    <w:p w14:paraId="577C89B3"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An toàn và trách nhiệm pháp lý là một trong những vấn đề cốt lõi hàng đầu trong ứng dụng TTNT. Vấn đề trở nên đặc biệt quan trọng hơn trong các trường hợp liên quan đến việc ứng dụng tích cực những phương tiện giao thông không người lái (phương tiện tự hành). Cho đến nay, vấn đề trách nhiệm pháp lý của TTNT đối với những thiệt hại gây ra cho sức khỏe, tính mạng của con người vẫn chưa có cách giải quyết thống nhất. Những trường hợp các phương tiện tự hành gây tai nạn cho con người ở một loạt các quốc gia đã làm dấy lên cuộc thảo luận về nhu cầu điều chỉnh vấn đề trách nhiệm của TTNT.</w:t>
      </w:r>
    </w:p>
    <w:p w14:paraId="5FBB7084" w14:textId="1EECF93F"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Trong Nghị quyết số 2015/2103, khái niệm mới về “cá nhân kỹ thuật số” đã xuất hiện cùng với vấn đề về trách nhiệm đối với các hành vi của robot (chủ sở hữu của robot, người sử dụng robot hay người tạo ra robot) và vấn đề bảo hiểm cho trách nhiệm đó. Nghị quyết số 2015/2103 đã nhấn mạnh tới một số đặc tính của robot thông minh như: khả năng chủ động sử dụng các cảm biến hoặc trao đổi dữ liệu trong môi trường của mình (tương thích); khả năng trao đổi dữ liệu và phân tích chúng; khả năng tự học hỏi trên cơ sở kinh nghiệm và tương tác; sự hiện diện tối thiểu của các hỗ trợ về vật lý; khả năng thích ứng các hành vi phù hợp với môi trường. Trên cơ sở đó, Nghị quyết đã đưa ra những lưu ý về vấn đề trách nhiệm đối với hoạt động của robot thông minh:</w:t>
      </w:r>
    </w:p>
    <w:p w14:paraId="34D865A6"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Thứ nhất</w:t>
      </w:r>
      <w:r w:rsidRPr="000B0F3D">
        <w:rPr>
          <w:rFonts w:ascii="Times New Roman" w:eastAsia="Times New Roman" w:hAnsi="Times New Roman" w:cs="Times New Roman"/>
          <w:color w:val="000000" w:themeColor="text1"/>
          <w:kern w:val="0"/>
          <w:sz w:val="28"/>
          <w:szCs w:val="28"/>
          <w:lang w:val="vi-VN"/>
          <w14:ligatures w14:val="none"/>
        </w:rPr>
        <w:t>, nhờ có sự phát triển của các chức năng cụ thể cho phép robot thông minh hoạt động tự chủ (tự động), thực hiện quá trình tự nhận thức, đưa ra những quyết định độc lập, robot ngày càng trở nên giống với các tác nhân có thể tương tác với môi trường và đem lại những thay đổi đáng kể cho môi trường đó. Trong bối cảnh như vậy, vấn đề quan trọng được đặt ra là trách nhiệm đối với những thiệt hại do robort gây ra trong hoạt động của mình.</w:t>
      </w:r>
    </w:p>
    <w:p w14:paraId="6CC06825"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Thứ hai</w:t>
      </w:r>
      <w:r w:rsidRPr="000B0F3D">
        <w:rPr>
          <w:rFonts w:ascii="Times New Roman" w:eastAsia="Times New Roman" w:hAnsi="Times New Roman" w:cs="Times New Roman"/>
          <w:color w:val="000000" w:themeColor="text1"/>
          <w:kern w:val="0"/>
          <w:sz w:val="28"/>
          <w:szCs w:val="28"/>
          <w:lang w:val="vi-VN"/>
          <w14:ligatures w14:val="none"/>
        </w:rPr>
        <w:t>, sự tự chủ của một robot tự động có thể được định nghĩa là khả năng đưa ra quyết định và thực hiện một cách độc lập, không cần có sự kiểm soát hay tác động từ bên ngoài. Quyền tự chủ của robot hoàn toàn có tính chất kỹ thuật và mức độ tự chủ hoàn toàn phụ thuộc mức độ lập trình cho robot tương tác với môi trường của nhà sản xuất.</w:t>
      </w:r>
    </w:p>
    <w:p w14:paraId="2C68414A"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Thứ ba</w:t>
      </w:r>
      <w:r w:rsidRPr="000B0F3D">
        <w:rPr>
          <w:rFonts w:ascii="Times New Roman" w:eastAsia="Times New Roman" w:hAnsi="Times New Roman" w:cs="Times New Roman"/>
          <w:color w:val="000000" w:themeColor="text1"/>
          <w:kern w:val="0"/>
          <w:sz w:val="28"/>
          <w:szCs w:val="28"/>
          <w:lang w:val="vi-VN"/>
          <w14:ligatures w14:val="none"/>
        </w:rPr>
        <w:t>, mức độ tự chủ của một robot càng cao thì khả năng coi robot như là một công cụ trong tay những người thứ ba (nhà sản xuất, người điều hành, chủ sở hữu, người sử dụng, …) càng giảm đi. Vậy, có nên phát triển những nguyên tắc và quy tắc mới nhằm làm rõ trách nhiệm của bên thứ ba với các hành vi của robot, đặc biệt là với những trường hợp mà sẽ không làm rõ được mối quan hệ nhân quả giữa hậu quả thiệt hại với hành vi của một cá nhân cụ thể; có thể tránh được những hành động (hoặc không hành động) của robot dẫn đến thiệt hại hay không.</w:t>
      </w:r>
    </w:p>
    <w:p w14:paraId="369D7273"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Thứ tư</w:t>
      </w:r>
      <w:r w:rsidRPr="000B0F3D">
        <w:rPr>
          <w:rFonts w:ascii="Times New Roman" w:eastAsia="Times New Roman" w:hAnsi="Times New Roman" w:cs="Times New Roman"/>
          <w:color w:val="000000" w:themeColor="text1"/>
          <w:kern w:val="0"/>
          <w:sz w:val="28"/>
          <w:szCs w:val="28"/>
          <w:lang w:val="vi-VN"/>
          <w14:ligatures w14:val="none"/>
        </w:rPr>
        <w:t>, bản thân các robot không thể tự mình chịu trách nhiệm về những thiệt hại mà chúng gây ra cho bên thứ ba. Các quy định hiện hành chỉ cho phép xem xét trách nhiệm trong trường hợp hành vi của robot nằm trong mối quan hệ nhân quả với hành vi của một cá nhân cụ thể (nhà sản xuất, người điều hành, chủ sở hữu hoặc người sử dụng), không phụ thuộc vào yếu tố lỗi, đối với các hành vi của robot.</w:t>
      </w:r>
    </w:p>
    <w:p w14:paraId="513C72F4"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lastRenderedPageBreak/>
        <w:t>Thứ năm</w:t>
      </w:r>
      <w:r w:rsidRPr="000B0F3D">
        <w:rPr>
          <w:rFonts w:ascii="Times New Roman" w:eastAsia="Times New Roman" w:hAnsi="Times New Roman" w:cs="Times New Roman"/>
          <w:color w:val="000000" w:themeColor="text1"/>
          <w:kern w:val="0"/>
          <w:sz w:val="28"/>
          <w:szCs w:val="28"/>
          <w:lang w:val="vi-VN"/>
          <w14:ligatures w14:val="none"/>
        </w:rPr>
        <w:t>, đối với những thiệt hại do hành vi của robot gây ra còn có thể áp dụng các quy định về: 1) Trách nhiệm đối với chất lượng và an toàn của hàng hóa, theo đó nhà sản xuất chịu trách nhiệm đối với mọi trục trặc của hàng hóa; 2) Trách nhiệm do những hành vi gây thiệt hại mà người sử dụng sản phẩm phải chịu trách nhiệm trong trường hợp có những hành vi dẫn tới những thiệt hại đó.</w:t>
      </w:r>
    </w:p>
    <w:p w14:paraId="1712D7E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Thứ sáu</w:t>
      </w:r>
      <w:r w:rsidRPr="000B0F3D">
        <w:rPr>
          <w:rFonts w:ascii="Times New Roman" w:eastAsia="Times New Roman" w:hAnsi="Times New Roman" w:cs="Times New Roman"/>
          <w:color w:val="000000" w:themeColor="text1"/>
          <w:kern w:val="0"/>
          <w:sz w:val="28"/>
          <w:szCs w:val="28"/>
          <w:lang w:val="vi-VN"/>
          <w14:ligatures w14:val="none"/>
        </w:rPr>
        <w:t>, các quy chuẩn hiện hành về trách nhiệm pháp lý sẽ là không đủ trong trường hợp thiệt hại gây ra hoàn toàn do các quyết định mà robot đưa ra một cách độc lập. Trong những trường hợp này, sẽ không thể xác định được chủ thể sẽ chịu trách nhiệm đối với thiệt hại xảy ra.</w:t>
      </w:r>
    </w:p>
    <w:p w14:paraId="48F27E68" w14:textId="3F67EAB0"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Những thiếu khuyết của cơ chế điều chỉnh pháp lý hiện hành cũng được thể hiện rõ trong lĩnh vực trách nhiệm theo hợp đồng. Nếu máy móc được thiết kế để bản thân chúng có thể tự lựa chọn được đối tác, thỏa thuận về các điều khoản hợp đồng, ký kết và quyết định sẽ thực hiện các thỏa thuận đó như thế nào thì rõ ràng các nguyên tắc thông thường sẽ không áp dụng với chúng. Điều đó có nghĩa là, cần phải tạo lập những nguyên tắc mới, hiệu quả, hiện đại, tính đến sự phát triển của công nghệ và đổi mới. Ngay cả nguyên tắc bồi thường thiệt hại ngoài hợp đồng đối với sản phẩm khuyết tật được quy định trong pháp luật của Liên minh Châu Âu cũng chỉ được áp dụng trong trường hợp thiệt hại bị xảy ra do nguyên nhân có khiếm khuyết về sản xuất và với điều kiện bên bị gây thiệt hại phải chứng minh được sự kiện gây thiệt hại, sự tồn tại của khiếm khuyết về sản xuất và mối liên hệ nhân quả giữa chúng với nhau. Chưa kể là các robot thế hệ mới có khả năng tự hoàn thiện và thích nghi với môi trường, hành vi và những tương tác của chúng với môi trường xung quanh có thể hoàn toàn có thể ngoài mọi dự liệu của con người, Như vậy, việc áp dụng các nguyên tắc hiện hành về trách nhiệm chủ quan và trách nhiệm khách quan (trách nhiệm không có yếu tố lỗi) đều không thể đáp ứng với vấn đề đã được đặt ra.</w:t>
      </w:r>
    </w:p>
    <w:p w14:paraId="19E8376C" w14:textId="31B7DE1C"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xml:space="preserve">Cộng hòa liên bang Đức là quốc gia có nhiều kinh nghiệm lập pháp và thực tiễn trong lĩnh vực này. Đức không chỉ là một trong những quốc gia đi đầu trong lĩnh vực chế tạo robot với tư cách độc lập, mà còn là thành viên của Liên minh Châu Âu - một hiệp hội có tính hội nhập cao và đóng vai trò quan trọng trong thị trường robot toàn cầu. Ở Đức, việc mở rộng sử dụng TTNT được nhìn nhận trong một bối cảnh rộng hơn, không chỉ trong bối cảnh một ngành riêng biệt, mà còn là một phần của sự đổi mới chung của nền kinh tế, hình thành một mô hình kinh tế mới. Từ năm 2011, Đức đã xây dựng và triển khai Chương trình công nghiệp 4.0 (một phần của Chiến lược Công nghệ cao quốc gia 2020), với mục đích tái cơ cấu triệt để ngành sản xuất sử dụng Internet of Things, robot, TTNT, các mạng truyền </w:t>
      </w:r>
      <w:r w:rsidRPr="000B0F3D">
        <w:rPr>
          <w:rFonts w:ascii="Times New Roman" w:eastAsia="Times New Roman" w:hAnsi="Times New Roman" w:cs="Times New Roman"/>
          <w:color w:val="000000" w:themeColor="text1"/>
          <w:kern w:val="0"/>
          <w:sz w:val="28"/>
          <w:szCs w:val="28"/>
          <w:lang w:val="vi-VN"/>
          <w14:ligatures w14:val="none"/>
        </w:rPr>
        <w:lastRenderedPageBreak/>
        <w:t>thông thế hệ mới và các công nghệ hiện đại khác. Chương trình này đã cho ra đời khái niệm về Cách mạng công nghiệp 4.0, một sự chuyển đổi có tính hệ thống của nền kinh tế thế giới dựa trên việc sử dụng bổ sung các công nghệ kỹ thuật số đầu cuối. Đặc biệt, nhà kinh tế học người Đức, Chủ tịch Diễn đàn Kinh tế thế giới tại Davos, Klaus Schwab, đã có đóng góp đáng kể vào việc phát triển và phổ biến khái niệm này. Hiện nay, Đức đã thông qua Chiến lược công nghệ cao quốc gia đến năm 2025 (The High-Tech Strategy 2025), trong đó thể hiện sự chú trọng đặc biệt đối với sự phát triển TTNT. Đức là một trong những quốc gia đầu tiên thông qua Luật Giao thông đường bộ sửa đổi để điều chỉnh việc sử dụng các phương tiện tự động hóa cao, trong đó có quy định khoản tiền đền bù cho những thiệt hại gây ra trong trường hợp sử dụng những phương tiện đó. Bên cạnh đó, </w:t>
      </w:r>
      <w:bookmarkStart w:id="1" w:name="_Hlk81907406"/>
      <w:r w:rsidRPr="000B0F3D">
        <w:rPr>
          <w:rFonts w:ascii="Times New Roman" w:eastAsia="Times New Roman" w:hAnsi="Times New Roman" w:cs="Times New Roman"/>
          <w:color w:val="000000" w:themeColor="text1"/>
          <w:kern w:val="0"/>
          <w:sz w:val="28"/>
          <w:szCs w:val="28"/>
          <w:bdr w:val="none" w:sz="0" w:space="0" w:color="auto" w:frame="1"/>
          <w:lang w:val="vi-VN"/>
          <w14:ligatures w14:val="none"/>
        </w:rPr>
        <w:t>cũng giống như các quốc gia hàng đầu trong lĩnh vực TTNT</w:t>
      </w:r>
      <w:bookmarkEnd w:id="1"/>
      <w:r w:rsidRPr="000B0F3D">
        <w:rPr>
          <w:rFonts w:ascii="Times New Roman" w:eastAsia="Times New Roman" w:hAnsi="Times New Roman" w:cs="Times New Roman"/>
          <w:color w:val="000000" w:themeColor="text1"/>
          <w:kern w:val="0"/>
          <w:sz w:val="28"/>
          <w:szCs w:val="28"/>
          <w:lang w:val="vi-VN"/>
          <w14:ligatures w14:val="none"/>
        </w:rPr>
        <w:t>, Đức vẫn áp dụng “regulatory sandbox” - “khung pháp lý thí điểm” để điều chỉnh một số hoạt động có liên quan đến TTNT. Ví dụ, vào năm 2017 tại Hamburg, dịch vụ giao hàng của Hermes đã thử nghiệm một robot giao hàng tự động có giấy phép cá nhân để được miễn tuân thủ các quy định về đăng ký, cấp phép đối với phương tiện giao thông tiện cũng như các quy định về giao thông hiện hành.</w:t>
      </w:r>
    </w:p>
    <w:p w14:paraId="7CA2E354"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Như vậy, ngoài các phương án xem xét trách nhiệm pháp lý mang tính chất truyền thống (trách nhiệm sản phẩm, trách nhiệm bồi thường thiệt hại ngoài hợp đồng) đối với các chủ thể thông thường như nhà sản xuất hay chủ sở hữu robot, đã có đề xuất rằng, các máy móc tiên tiến nhất phải có tư cách chủ thể đặc biệt của một thực thể điện tử. Nghị quyết số 2015/2103 cũng đề cập tới việc, nếu như tính chất tự động của robot càng cao thì nó càng cần được xem xét như một dạng công cụ đặc biệt. Từ đó đặt ra câu hỏi: TTNT có thể tự mình chịu trách nhiệm cho những “tác vi” (hành động) và “bất tác vi” (không hành động) của mình hay không?  Nghị quyết số 2015/2103 cũng đã đưa ra quy định về việc thiết lập một hệ thống bảo hiểm bắt buộc đối với robot của chủ sở hữu và nhà sản xuất ra chúng (tương tự như như bảo hiểm trách nhiệm dân sự của người chủ sở hữu ô tô trong trường hợp xảy ra tai nạn). Khi thiệt hại gây ra không được bảo hiểm chi trả thì tiền bồi thường sẽ phải được chi trả từ quỹ bồi thường đặc biệt này.</w:t>
      </w:r>
    </w:p>
    <w:p w14:paraId="0FF7F71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Hiện nay, ở Việt Nam, pháp luật chưa xem xét vấn đề bồi thường thiệt hại trong ứng dụng TTNT như một loại trách nhiệm đặc biệt. Vấn đề bồi thường thiệt hại do TTNT gây ra được áp dụng trên cơ sở những nguyên tắc chung của bồi thường thiệt hại ngoài hợp đồng hoặc những quy định về trách nhiệm sản phẩm trong pháp luật về bảo vệ quyền lợi người tiêu dùng.</w:t>
      </w:r>
    </w:p>
    <w:p w14:paraId="36CF04A6"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bdr w:val="none" w:sz="0" w:space="0" w:color="auto" w:frame="1"/>
          <w:lang w:val="vi-VN"/>
          <w14:ligatures w14:val="none"/>
        </w:rPr>
        <w:t>3. Bảo vệ dữ liệu cá nhân trong ứng dụng trí tuệ nhân tạo</w:t>
      </w:r>
    </w:p>
    <w:p w14:paraId="3EF21F3C" w14:textId="75D0A9B1"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Chúng ta đang sống trong thời đại mà quyền riêng tư đã trở thành mối quan tâm trung tâm của cả người dùng và cơ quan quản lý. Người dùng đang đòi hỏi sự minh bạch và kiểm soát cao hơn đối với việc thu thập, lưu trữ, sử dụng dữ liệu và trao đổi dữ liệu, đặc biệt là dữ liệu cá nhân. Thành phần chính của TTNT chính là các dữ liệu, trong khi số lượng lớn dữ liệu cho phép hệ thống “học máy” (machine learning) tự phát triển và đưa ra các quyết định một cách độc lập. Dữ liệu chính là một dạng nguyên liệu đầu vào của TTNT, cho phép TTNT có thể học cách tư duy của con người, sao chép các hành vi ứng xử của con người, tư duy các giải pháp để giải quyết vấn đề và từ đó có thể đưa những quyết định với độ tính toán chính xác, thông minh hơn con người do lợi thế xử lý kỹ thuật công nghệ vốn có của mình. Trong thời đại trí tuệ nhân tạo, dữ liệu, đặc biệt là dữ liệu cá nhân đã thực sự trở thành một loại “hàng hóa” có giá trị kinh tế. Dữ liệu cá nhân giúp cho TTNT học được cách tư duy của con người, cho ra kết quả cao hơn tư duy con người. Do vậy, việc ứng dụng TTNT có liên quan mật thiết đến bảo hộ dữ liệ</w:t>
      </w:r>
      <w:r w:rsidR="00E71244" w:rsidRPr="000B0F3D">
        <w:rPr>
          <w:rFonts w:ascii="Times New Roman" w:eastAsia="Times New Roman" w:hAnsi="Times New Roman" w:cs="Times New Roman"/>
          <w:color w:val="000000" w:themeColor="text1"/>
          <w:kern w:val="0"/>
          <w:sz w:val="28"/>
          <w:szCs w:val="28"/>
          <w:lang w:val="vi-VN"/>
          <w14:ligatures w14:val="none"/>
        </w:rPr>
        <w:t xml:space="preserve">u, đặc biệt là dữ liệu cá nhân. </w:t>
      </w:r>
    </w:p>
    <w:p w14:paraId="69A50CD9" w14:textId="1CB82706"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Châu Âu có thể được xem là một hình mẫu trong việc bảo hộ các dữ liệu cá nhân. Ngày 27/4/2016, Liên minh Châu Âu đã thông qua Chỉ thị số 2016/679 về bảo vệ các cá nhân liên quan đến xử lý và tự do lưu chuyển dữ liệu cá nhân (hay còn gọi là Quy định về bảo vệ dữ liệu chung (General Data Protection Regulation - GDPR), chính thức có hiệu lực từ 25/5/2018. Dữ liệu cá nhân có thể là bất kỳ thông tin nào liên quan đến việc xác định hoặc nhận dạng một cá nhân (chủ thể dữ liệu) mà theo đó có thể được xác định trực tiếp hoặc gián tiếp chủ thể này. Những thông tin này bao gồm tên, thông tin về vị trí, số nhận dạng trực tuyến, một hoặc nhiều yếu tố cụ thể về danh tính, định dạng vật lý, sinh lý, di truyền, tinh thần, kinh tế, văn hóa hoặc xã hội của cá nhân. Định nghĩa rất rộng và bao hàm khẳng định khá rõ ràng rằng ngay cả địa chỉ IP cũng có thể được coi là dữ liệu cá nhân. Một số dạng dữ liệu cá nhân thuộc về loại đặc biệt hoặc bí mật. Đó là những thông tin liên quan đến nguồn gốc chủng tộc hoặc sắc tộc, chính kiến chính trị, tín ngưỡng tôn giáo hoặc triết học cũng như danh tính thành viên của các tổ chức nghiệp đoàn, các thông tin về di truyền, sinh trắc học được sử dụng để xác định một cá nhân, các thông tin về tình trạng sức khỏe, thông tin về đời sống tình dục hoặc khuynh hướng tình dục.</w:t>
      </w:r>
    </w:p>
    <w:p w14:paraId="7BEAC8A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xml:space="preserve">Việc bảo vệ dữ liệu cá nhân được thực hiện trên cơ sở các tiêu chí sau: bản thân việc bảo vệ dữ liệu cá nhân luôn được nhìn nhận trong tương quan với việc bảo vệ quyền riêng tư và được xem như là sự tiếp nối của quyền riêng tư; tồn tại các quy định nghiêm ngặt về cơ chế thể hiện sự đồng ý đối với xử lý dữ liệu cá </w:t>
      </w:r>
      <w:r w:rsidRPr="000B0F3D">
        <w:rPr>
          <w:rFonts w:ascii="Times New Roman" w:eastAsia="Times New Roman" w:hAnsi="Times New Roman" w:cs="Times New Roman"/>
          <w:color w:val="000000" w:themeColor="text1"/>
          <w:kern w:val="0"/>
          <w:sz w:val="28"/>
          <w:szCs w:val="28"/>
          <w:lang w:val="vi-VN"/>
          <w14:ligatures w14:val="none"/>
        </w:rPr>
        <w:lastRenderedPageBreak/>
        <w:t>nhân; dữ liệu cá nhân có thể được sử dụng vì những mục đích công cộng với điều kiện tồn tại các cơ chế thông báo và khiếu nại; trong bảo vệ dữ liệu cá nhân cần đồng thời tôn trọng các quyền và tự do cơ bản khác như quyền tự do ngôn luận, tự do lưu thông thông tin.</w:t>
      </w:r>
    </w:p>
    <w:p w14:paraId="7921B1F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Việc xử lý dữ liệu cá nhân được thực hiện trên các nguyên tắc sau:  </w:t>
      </w:r>
    </w:p>
    <w:p w14:paraId="1CB5738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Thứ nhất</w:t>
      </w:r>
      <w:r w:rsidRPr="000B0F3D">
        <w:rPr>
          <w:rFonts w:ascii="Times New Roman" w:eastAsia="Times New Roman" w:hAnsi="Times New Roman" w:cs="Times New Roman"/>
          <w:color w:val="000000" w:themeColor="text1"/>
          <w:kern w:val="0"/>
          <w:sz w:val="28"/>
          <w:szCs w:val="28"/>
          <w:lang w:val="vi-VN"/>
          <w14:ligatures w14:val="none"/>
        </w:rPr>
        <w:t>, hợp pháp, công bằng và minh bạch. Dữ liệu cá nhân cần được xử lý một cách hợp pháp, công bằng và minh bạch. Bất kỳ thông tin nào về mục đích, phương pháp và quy mô xử lý dữ liệu cá nhân cần được thể hiện một cách tối đa, dễ tiếp cận và đơn giản.</w:t>
      </w:r>
    </w:p>
    <w:p w14:paraId="781EB6D2"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Thứ hai</w:t>
      </w:r>
      <w:r w:rsidRPr="000B0F3D">
        <w:rPr>
          <w:rFonts w:ascii="Times New Roman" w:eastAsia="Times New Roman" w:hAnsi="Times New Roman" w:cs="Times New Roman"/>
          <w:color w:val="000000" w:themeColor="text1"/>
          <w:kern w:val="0"/>
          <w:sz w:val="28"/>
          <w:szCs w:val="28"/>
          <w:lang w:val="vi-VN"/>
          <w14:ligatures w14:val="none"/>
        </w:rPr>
        <w:t>, giới hạn mục tiêu. Các thông tin cá nhân cần được thu thập và sử dụng chỉ giới hạn trong mục đích đã đã được tuyên bố bởi những đơn vị thu thập thông tin đó.</w:t>
      </w:r>
    </w:p>
    <w:p w14:paraId="4D5884E2"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Thứ ba</w:t>
      </w:r>
      <w:r w:rsidRPr="000B0F3D">
        <w:rPr>
          <w:rFonts w:ascii="Times New Roman" w:eastAsia="Times New Roman" w:hAnsi="Times New Roman" w:cs="Times New Roman"/>
          <w:color w:val="000000" w:themeColor="text1"/>
          <w:kern w:val="0"/>
          <w:sz w:val="28"/>
          <w:szCs w:val="28"/>
          <w:lang w:val="vi-VN"/>
          <w14:ligatures w14:val="none"/>
        </w:rPr>
        <w:t>, tối thiểu hóa dữ liệu. Không thể thu thập số lượng dữ liệu cá nhân nhiều hơn so với mức cần thiết so với mục tiêu xử lý dữ liệu.</w:t>
      </w:r>
    </w:p>
    <w:p w14:paraId="57EEAFD6"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Thứ tư</w:t>
      </w:r>
      <w:r w:rsidRPr="000B0F3D">
        <w:rPr>
          <w:rFonts w:ascii="Times New Roman" w:eastAsia="Times New Roman" w:hAnsi="Times New Roman" w:cs="Times New Roman"/>
          <w:color w:val="000000" w:themeColor="text1"/>
          <w:kern w:val="0"/>
          <w:sz w:val="28"/>
          <w:szCs w:val="28"/>
          <w:lang w:val="vi-VN"/>
          <w14:ligatures w14:val="none"/>
        </w:rPr>
        <w:t>, chính xác. Những thông tin cá nhân không chính xác cần được loại bỏ hoặc chỉnh sửa (theo yêu cầu của người sử dụng dịch vụ)</w:t>
      </w:r>
    </w:p>
    <w:p w14:paraId="7ADC877F"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Thứ năm</w:t>
      </w:r>
      <w:r w:rsidRPr="000B0F3D">
        <w:rPr>
          <w:rFonts w:ascii="Times New Roman" w:eastAsia="Times New Roman" w:hAnsi="Times New Roman" w:cs="Times New Roman"/>
          <w:color w:val="000000" w:themeColor="text1"/>
          <w:kern w:val="0"/>
          <w:sz w:val="28"/>
          <w:szCs w:val="28"/>
          <w:lang w:val="vi-VN"/>
          <w14:ligatures w14:val="none"/>
        </w:rPr>
        <w:t>, hạn chế lưu trữ. Thông tin cá nhân cần được lưu trữ ở dạng cho phép xác định chủ thể dữ liệu trong một khoảng thời gian không vượt quá mức cần thiết cho mục đích xử lý.</w:t>
      </w:r>
    </w:p>
    <w:p w14:paraId="7946FC6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Thứ sáu</w:t>
      </w:r>
      <w:r w:rsidRPr="000B0F3D">
        <w:rPr>
          <w:rFonts w:ascii="Times New Roman" w:eastAsia="Times New Roman" w:hAnsi="Times New Roman" w:cs="Times New Roman"/>
          <w:color w:val="000000" w:themeColor="text1"/>
          <w:kern w:val="0"/>
          <w:sz w:val="28"/>
          <w:szCs w:val="28"/>
          <w:lang w:val="vi-VN"/>
          <w14:ligatures w14:val="none"/>
        </w:rPr>
        <w:t>, toàn vẹn và bảo mật. Khi xử lý dữ liệu người dùng, các công ty có nghĩa vụ đảm bảo bảo vệ dữ liệu cá nhân khỏi việc xử lý, phá hủy trái phép</w:t>
      </w:r>
      <w:bookmarkStart w:id="2" w:name="_ftnref17"/>
      <w:r w:rsidRPr="0080689F">
        <w:rPr>
          <w:rFonts w:ascii="Times New Roman" w:eastAsia="Times New Roman" w:hAnsi="Times New Roman" w:cs="Times New Roman"/>
          <w:color w:val="000000" w:themeColor="text1"/>
          <w:kern w:val="0"/>
          <w:sz w:val="28"/>
          <w:szCs w:val="28"/>
          <w14:ligatures w14:val="none"/>
        </w:rPr>
        <w:fldChar w:fldCharType="begin"/>
      </w:r>
      <w:r w:rsidRPr="000B0F3D">
        <w:rPr>
          <w:rFonts w:ascii="Times New Roman" w:eastAsia="Times New Roman" w:hAnsi="Times New Roman" w:cs="Times New Roman"/>
          <w:color w:val="000000" w:themeColor="text1"/>
          <w:kern w:val="0"/>
          <w:sz w:val="28"/>
          <w:szCs w:val="28"/>
          <w:lang w:val="vi-VN"/>
          <w14:ligatures w14:val="none"/>
        </w:rPr>
        <w:instrText>HYPERLINK "file:///C:\\Users\\SONY\\AppData\\Local\\Temp\\1.%20NTQAnh%20-%20Tac%20dong%20cua%20tri%20tue%20nhan%20tao%20toi%20luat%20tu.HA.Tac%20gia%20da%20sua.MT.doc" \l "_ftn17" \o ""</w:instrText>
      </w:r>
      <w:r w:rsidRPr="0080689F">
        <w:rPr>
          <w:rFonts w:ascii="Times New Roman" w:eastAsia="Times New Roman" w:hAnsi="Times New Roman" w:cs="Times New Roman"/>
          <w:color w:val="000000" w:themeColor="text1"/>
          <w:kern w:val="0"/>
          <w:sz w:val="28"/>
          <w:szCs w:val="28"/>
          <w14:ligatures w14:val="none"/>
        </w:rPr>
        <w:fldChar w:fldCharType="separate"/>
      </w:r>
      <w:r w:rsidRPr="000B0F3D">
        <w:rPr>
          <w:rFonts w:ascii="Times New Roman" w:eastAsia="Times New Roman" w:hAnsi="Times New Roman" w:cs="Times New Roman"/>
          <w:color w:val="000000" w:themeColor="text1"/>
          <w:kern w:val="0"/>
          <w:sz w:val="28"/>
          <w:szCs w:val="28"/>
          <w:u w:val="single"/>
          <w:bdr w:val="none" w:sz="0" w:space="0" w:color="auto" w:frame="1"/>
          <w:lang w:val="vi-VN"/>
          <w14:ligatures w14:val="none"/>
        </w:rPr>
        <w:t>[17]</w:t>
      </w:r>
      <w:r w:rsidRPr="0080689F">
        <w:rPr>
          <w:rFonts w:ascii="Times New Roman" w:eastAsia="Times New Roman" w:hAnsi="Times New Roman" w:cs="Times New Roman"/>
          <w:color w:val="000000" w:themeColor="text1"/>
          <w:kern w:val="0"/>
          <w:sz w:val="28"/>
          <w:szCs w:val="28"/>
          <w14:ligatures w14:val="none"/>
        </w:rPr>
        <w:fldChar w:fldCharType="end"/>
      </w:r>
      <w:bookmarkStart w:id="3" w:name="_Hlk81412910"/>
      <w:bookmarkEnd w:id="2"/>
      <w:r w:rsidRPr="000B0F3D">
        <w:rPr>
          <w:rFonts w:ascii="Times New Roman" w:eastAsia="Times New Roman" w:hAnsi="Times New Roman" w:cs="Times New Roman"/>
          <w:color w:val="000000" w:themeColor="text1"/>
          <w:kern w:val="0"/>
          <w:sz w:val="28"/>
          <w:szCs w:val="28"/>
          <w:bdr w:val="none" w:sz="0" w:space="0" w:color="auto" w:frame="1"/>
          <w:lang w:val="vi-VN"/>
          <w14:ligatures w14:val="none"/>
        </w:rPr>
        <w:t>.</w:t>
      </w:r>
      <w:bookmarkEnd w:id="3"/>
    </w:p>
    <w:p w14:paraId="334E29ED" w14:textId="550A6C5C"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Có thể dễ dàng nhận thấy, trong bối cảnh ứng dụng TTNT, các nguyên tắc xủ lý dữ liệu nêu trên đang gặp phải những mâu thuẫn và thách thức nhất định. Vậy các yêu cầu và nguyên tắc ứng xử với dữ liệu cá nhân sẽ cần phải được xử lý như thế nào trong việc ứng dụng TTNT, đặc biệt trong trường hợp TTNT có thể tự mình đưa ra các quyết định độc lập, trong đó có cả việc thu thập, xử lý, tiết lộ các thông tin thuộc về bí mật của các cá nhân? Làm</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thế</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nào để để</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các</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công</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ty</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tích</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hợp</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các</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phân</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tích</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dữ</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liệu</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liên</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quan đến</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cá nhân</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vào</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hệ</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thống</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sản</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phẩm, dịch</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vụ</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trên</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nền</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tảng</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TTNT</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của</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họ?</w:t>
      </w:r>
    </w:p>
    <w:p w14:paraId="58AB4495" w14:textId="5FBDE03A"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Dưới</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góc độ</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kỹ</w:t>
      </w:r>
      <w:r w:rsidR="00E71244" w:rsidRPr="000B0F3D">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 xml:space="preserve">thuật, các nhà khoa học và doanh nhân đang tích cực phát triển các phương pháp và công cụ bảo vệ dữ liệu cá nhân để sử dụng trong các hệ thống TTNT. Có  thể kể đến một số phương thức kỹ thuật mới để bảo vệ dữ liệu cá nhân trong môi trường ứng dụng TTNT như: Học liên kết (Federated </w:t>
      </w:r>
      <w:r w:rsidRPr="000B0F3D">
        <w:rPr>
          <w:rFonts w:ascii="Times New Roman" w:eastAsia="Times New Roman" w:hAnsi="Times New Roman" w:cs="Times New Roman"/>
          <w:color w:val="000000" w:themeColor="text1"/>
          <w:kern w:val="0"/>
          <w:sz w:val="28"/>
          <w:szCs w:val="28"/>
          <w:lang w:val="vi-VN"/>
          <w14:ligatures w14:val="none"/>
        </w:rPr>
        <w:lastRenderedPageBreak/>
        <w:t>Learning); Thuật toán quyền riêng tư khác biệt (Differential Privacy); Mã hóa đồng hình (</w:t>
      </w:r>
      <w:r w:rsidRPr="000B0F3D">
        <w:rPr>
          <w:rFonts w:ascii="Times New Roman" w:eastAsia="Times New Roman" w:hAnsi="Times New Roman" w:cs="Times New Roman"/>
          <w:b/>
          <w:bCs/>
          <w:color w:val="000000" w:themeColor="text1"/>
          <w:kern w:val="0"/>
          <w:sz w:val="28"/>
          <w:szCs w:val="28"/>
          <w:bdr w:val="none" w:sz="0" w:space="0" w:color="auto" w:frame="1"/>
          <w:lang w:val="vi-VN"/>
          <w14:ligatures w14:val="none"/>
        </w:rPr>
        <w:t>Homomorphic Encryption -</w:t>
      </w:r>
      <w:r w:rsidRPr="000B0F3D">
        <w:rPr>
          <w:rFonts w:ascii="Times New Roman" w:eastAsia="Times New Roman" w:hAnsi="Times New Roman" w:cs="Times New Roman"/>
          <w:color w:val="000000" w:themeColor="text1"/>
          <w:kern w:val="0"/>
          <w:sz w:val="28"/>
          <w:szCs w:val="28"/>
          <w:lang w:val="vi-VN"/>
          <w14:ligatures w14:val="none"/>
        </w:rPr>
        <w:t> còn gọi là “mã hóa đồng cấu”); Sử dụng mạng ngang hàng (Peer-to-Peer) hay còn gọi là mô hình phi tập trung.</w:t>
      </w:r>
    </w:p>
    <w:p w14:paraId="3D730004" w14:textId="1250031D"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Việc ứng dụng TTNT không những tạo ra nguy cơ tiềm ẩn đối với tính bất khả xâm phạm về quyền riêng tư mà trong nhiều trường hợp chúng còn được thiết kế với chủ định là thiết lập các hồ sơ cá nhân. Dưới góc độ này, pháp luật các quốc gia phát triển, đặc biệt là Liên minh Châu Âu có những quy định rất nghiêm ngặt, thậm chí có khả năng kìm hãm đáng kể sự phát triển của TTNT. Như vậy, trong chính sách phát triển chung cũng như trong thiết kế, sản xuất và ứng dụng TTNT, các nhà hoạch định chính sách, các nhà thiết kế, sản xuất và cung cấp dịch vụ cần bảo đảm rằng các ứng dụng TTNT sẽ không dẫn đến việc làm suy yếu các quyền đối với dữ liệu cán nhân. Đối với các hoạt động nêu trên, có thể chỉ ra những yêu cầu chung liên quan đến bảo vệ dữ liệu cá nhân như sau:    </w:t>
      </w:r>
    </w:p>
    <w:p w14:paraId="7FD464E7"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Các ứng dụng TTNT trong mọi trường hợp phải tôn trọng đầy đủ các quyền của chủ thể dữ liệu;</w:t>
      </w:r>
    </w:p>
    <w:p w14:paraId="122FEEC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Các ứng dụng TTNT phải cho phép chủ thể dữ liệu kiểm soát một cách có ý thức đối với quá trình xử lý dữ liệu và đối với những tác động có liên quan đến cá nhân và xã hội;</w:t>
      </w:r>
    </w:p>
    <w:p w14:paraId="53E706E7" w14:textId="2AB09D80"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Ở tất cả các giai đoạn xử lý dữ liệu, bao gồm cả thu thập dữ liệu, các nhà phát triển, nhà sản xuất và nhà cung cấp dịch vụ TTNTI nên áp dụng phương pháp tiếp cận theo thiết kế nhân quyền (human rights by-design) và tránh mọi thành kiến ​​tiềm ẩn (bao gồm cả vô tình hoặc không rõ ràng), nguy cơ phân biệt đối xử và các hậu quả tiêu cực khác đối với quyền con người và các quyền tự do cơ bản của chủ thể dữ liệu;</w:t>
      </w:r>
      <w:r w:rsidR="000A2965" w:rsidRPr="000B0F3D">
        <w:rPr>
          <w:rFonts w:ascii="Times New Roman" w:eastAsia="Times New Roman" w:hAnsi="Times New Roman" w:cs="Times New Roman"/>
          <w:color w:val="000000" w:themeColor="text1"/>
          <w:kern w:val="0"/>
          <w:sz w:val="28"/>
          <w:szCs w:val="28"/>
          <w:lang w:val="vi-VN"/>
          <w14:ligatures w14:val="none"/>
        </w:rPr>
        <w:t xml:space="preserve"> </w:t>
      </w:r>
    </w:p>
    <w:p w14:paraId="6100ACE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Tất cả các sản phẩm và dịch vụ dựa trên ứng dụng TTNT phải được thiết kế theo cách đảm bảo quyền của các cá nhân để đảm bảo rằng các quyết định có ảnh hưởng quan trọng đến họ không chỉ dựa trên xử lý dữ liệu tự động mà không tính đến ý kiến ​​của họ;</w:t>
      </w:r>
    </w:p>
    <w:p w14:paraId="71F4E8DC"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Các chủ thể dữ liệu phải được thông báo rằng họ đang tương tác với ứng dụng TTNT. Họ nên có quyền nhận được những thông tin về logic đằng sau các hoạt động xử lý dữ liệu có ứng dụng TTNT liên quan đến lợi ích của họ;</w:t>
      </w:r>
    </w:p>
    <w:p w14:paraId="5B9637C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Phải đảm bảo quyền phản đối việc xử lý dữ liệu dựa trên các công nghệ ảnh hưởng đến quan điểm và sự phát triển riêng của các cá nhân.</w:t>
      </w:r>
    </w:p>
    <w:p w14:paraId="2CE7CBA7"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bdr w:val="none" w:sz="0" w:space="0" w:color="auto" w:frame="1"/>
          <w:lang w:val="vi-VN"/>
          <w14:ligatures w14:val="none"/>
        </w:rPr>
        <w:lastRenderedPageBreak/>
        <w:t>4. Quyền sở hữu trí tuệ trong ứng dụng trí tuệ nhân tạo</w:t>
      </w:r>
    </w:p>
    <w:p w14:paraId="537C9C22"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TTNT đang ngày càng trở thành động lực thúc đẩy tiến bộ trong công nghệ và kinh doanh. Nó được sử dụng rộng rãi trong nhiều ngành công nghiệp và có tác động đến hầu hết mọi khía cạnh của hoạt động sáng tạo. Sự phát triển của TTNT được thúc đẩy bởi sự sẵn có của một lượng lớn dữ liệu và sự gia tăng khả năng tính toán sẵn có. Do vậy, TTNT có nhiều điểm giao thoa và tác động tới lĩnh vực sở hữu trí tuệ (SHTT). Còn sớm để nói về những vấn đề cụ thể, nhưng rõ ràng rằng, TTNT sẽ có tác động tới các lĩnh vực truyền thống của sở hữu trí tuệ. Nền kinh tế số nói chung và TTNT nói riêng sẽ sớm tạo ra các tác phẩm âm nhạc thương mại và các sáng chế, sẽ làm thay đổi khái niệm niệm truyền thống về “nhà soạn nhạc”, “tác giả”, “nhà sáng chế”. TTNT và các quan hệ pháp lý liên quan sự phát triển của TTNT trong tương quan với hệ thống bảo hộ quyền SHTT ngày càng trở thành những vấn đề cấp bách cần được xem xét và điều chỉnh.</w:t>
      </w:r>
    </w:p>
    <w:p w14:paraId="6E7EB5B7"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Mục tiêu nền tảng của hệ thống SHTT luôn là khuyến khích việc tạo ra các công nghệ mới, các công trình sáng tạo cũng như tạo ra cơ sở kinh tế bền vững cho các sáng tạo. Từ quan điểm kinh tế đơn thuần, ngoài các mục tiêu khác của hệ thống SHTT như bảo đảm “phần thưởng xứng đáng” và bảo vệ các quyền nhân thân thì sẽ không có lý do gì để không sử dụng SHTT nhằm khuyền khích các công trình sáng tạo do chính TTNT tạo lập ra. Tuy nhiên, cho đến thời điểm hiện nay, cơ chế và phương thức thực hiện mục tiêu này thì hoàn toàn chưa rõ ràng. TTNT như một công nghệ có thể được hiểu theo những cách khác nhau, nhưng điểm mấu chốt với pháp luật SHTT chính là ở chỗ, kết quả của việc sử dụng phức hợp các giải pháp công nghệ cho phép bắt chước các nhận thức của con người, thu nhận được những kết quả tương đương với kết quả của hoạt động trí tuệ của con người. Từ đó dẫn đến câu hỏi là liệu các sản phẩm được tạo ra từ TTNT – kết quả của quá trình tự phân tích và đưa ra các quyết định độc lập của TTNT - có được bảo hộ quyền SHTT hay không? Và nếu được bảo hộ thì chủ thể nào sẽ nắm giữ các quyền SHTT này.</w:t>
      </w:r>
    </w:p>
    <w:p w14:paraId="0E0E26D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xml:space="preserve">Pháp luật SHTT hiện hành chỉ công nhận quyền tác giả đối với những tác phẩm được tạo thành từ công sức lao động sáng tạo của cá nhân con người. Quyền tác giả đối với tác phẩm liên quan trực tiếp đến vấn đề tính nguyên gốc của chúng - một trong những đặc điểm chính được pháp luật bảo hộ. Nền tảng của pháp luật về bảo hộ quyền tác giả truyền thống tiếp cận theo hướng bảo hộ tác phẩm mà trong đó tính nguyên bản của chúng phản ánh các hoạt động sáng tạo và trí tuệ của tác giả. TTNT hoạt động theo các thuật toán và khá thường xuyên tạo ra các tác phẩm mới do quá trình xử lý và phân tích các tác phẩm đã có, trong trường </w:t>
      </w:r>
      <w:r w:rsidRPr="000B0F3D">
        <w:rPr>
          <w:rFonts w:ascii="Times New Roman" w:eastAsia="Times New Roman" w:hAnsi="Times New Roman" w:cs="Times New Roman"/>
          <w:color w:val="000000" w:themeColor="text1"/>
          <w:kern w:val="0"/>
          <w:sz w:val="28"/>
          <w:szCs w:val="28"/>
          <w:lang w:val="vi-VN"/>
          <w14:ligatures w14:val="none"/>
        </w:rPr>
        <w:lastRenderedPageBreak/>
        <w:t>hợp này, để tác phẩm có thể được bảo hộ thì cần thiết phải đưa ra các tiêu chí để xác định tính chất nguyên gốc trong tác phẩm mới được hình thành. Do vậy, vấn đề quan trọng đối với việc công nhận quyền tác giả cho đối tượng được tạo ra bởi TTNT chính là tác giả và tính nguyên gốc của tác phẩm. Có những xu hướng giải quyết vấn đề này như sau:</w:t>
      </w:r>
    </w:p>
    <w:p w14:paraId="4FF5D004"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 Tác giả là người đã tạo nên TTNT;</w:t>
      </w:r>
    </w:p>
    <w:p w14:paraId="2439FA3A"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w:t>
      </w: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w:t>
      </w:r>
      <w:r w:rsidRPr="000B0F3D">
        <w:rPr>
          <w:rFonts w:ascii="Times New Roman" w:eastAsia="Times New Roman" w:hAnsi="Times New Roman" w:cs="Times New Roman"/>
          <w:color w:val="000000" w:themeColor="text1"/>
          <w:kern w:val="0"/>
          <w:sz w:val="28"/>
          <w:szCs w:val="28"/>
          <w:lang w:val="vi-VN"/>
          <w14:ligatures w14:val="none"/>
        </w:rPr>
        <w:t> Tác giả là người sử dụng TTNT;</w:t>
      </w:r>
    </w:p>
    <w:p w14:paraId="5F415591"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w:t>
      </w: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w:t>
      </w:r>
      <w:r w:rsidRPr="000B0F3D">
        <w:rPr>
          <w:rFonts w:ascii="Times New Roman" w:eastAsia="Times New Roman" w:hAnsi="Times New Roman" w:cs="Times New Roman"/>
          <w:color w:val="000000" w:themeColor="text1"/>
          <w:kern w:val="0"/>
          <w:sz w:val="28"/>
          <w:szCs w:val="28"/>
          <w:lang w:val="vi-VN"/>
          <w14:ligatures w14:val="none"/>
        </w:rPr>
        <w:t> Tác giả trực tiếp là TTNT.</w:t>
      </w:r>
    </w:p>
    <w:p w14:paraId="687C74F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Trong đó, hai xu hướng đầu là những những xu hướng phổ biến nhất, nhưng lại không hoàn toàn tương ứng với đặc điểm chính của tác phẩm là đối tượng SHTT - sự hiện diện của hoạt động sáng tạo và trí tuệ của một người. Kết quả của hoạt động trí tuệ và sáng tạo của một nhà phát triển TTNT sẽ là chính TTNT dưới dạng một chương trình máy tính hoặc một mã nguồn. Các sản phẩm do TTNT tạo ra thường không bị ảnh hưởng từ phía người tạo ra TTNT vì các sản phẩm này được TTNT tạo ra bằng cách thực hiện những thuật toán nhất định. Do vậy, việc công nhận người phát triển TTNT là tác giả sẽ không phù hợp với pháp luật hiện hành. Tiếp theo, việc coi người sử dụng TTNT như là tác giả cũng sẽ không tương thích với các nguyên tắc cơ bản của quyền SHTT. Thông thường, tất cả các hành động của người dùng liên quan đến quá trình tạo ra các tác phẩm bằng TTNT bao gồm việc khởi động một chương trình máy tính thích hợp và tải thông tin, tài liệu hoặc thiết lập các cài đặt cần thiết để tạo ra kết quả cuối cùng. Những hành động như vậy khó được coi là hoạt động có tính sáng tạo.</w:t>
      </w:r>
    </w:p>
    <w:p w14:paraId="09A0FB89"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Cho đến nay, chưa có bất kỳ quốc gia nào công nhận TTNT trực tiếp là tác giả của các tác phẩm. Điều này liên quan trực tiếp đến vấn đề có công nhận “cá nhân điện tử” (như đã đề cập ở các nội dung trên) là chủ thể của quan hệ pháp luật hay không. Tuy nhiên, việc áp dụng xu hướng này còn liên quan đến việc giải quyết hàng loạt các khía cạnh pháp lý khác nhau trong bảo hộ quyền SHTT đối với các đối tượng do “cá nhân điện từ” - TTNT tạo nên: cơ chế thực thi các quyền nhân thân và tài sản; thời hạn bảo hộ; giải quyết tranh chấp; … </w:t>
      </w:r>
    </w:p>
    <w:p w14:paraId="7FDE6047"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xml:space="preserve">Ngoài ra, việc ứng dụng công nghệ TTNT sẽ có tác động không chỉ tới hoạt động SHTT, hệ thống pháp luật và chính sách về SHTT mà còn tới cả các hệ thống hành chính về SHTT trên toàn thế giới. Trong những năm gần đây, Tổ chức SHTT thế giới (WIPO) đã nỗ lực nghiên cứu và thảo luận các vấn đề và các câu hỏi liên </w:t>
      </w:r>
      <w:r w:rsidRPr="000B0F3D">
        <w:rPr>
          <w:rFonts w:ascii="Times New Roman" w:eastAsia="Times New Roman" w:hAnsi="Times New Roman" w:cs="Times New Roman"/>
          <w:color w:val="000000" w:themeColor="text1"/>
          <w:kern w:val="0"/>
          <w:sz w:val="28"/>
          <w:szCs w:val="28"/>
          <w:lang w:val="vi-VN"/>
          <w14:ligatures w14:val="none"/>
        </w:rPr>
        <w:lastRenderedPageBreak/>
        <w:t>quan đến việc sử dụng các công nghệ và hệ thống TTNT để quản lý các quy trình hành chính và chính sách sở hữu trí tuệ.</w:t>
      </w:r>
    </w:p>
    <w:p w14:paraId="112075C3"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bdr w:val="none" w:sz="0" w:space="0" w:color="auto" w:frame="1"/>
          <w:lang w:val="vi-VN"/>
          <w14:ligatures w14:val="none"/>
        </w:rPr>
        <w:t>            </w:t>
      </w:r>
      <w:r w:rsidRPr="000B0F3D">
        <w:rPr>
          <w:rFonts w:ascii="Times New Roman" w:eastAsia="Times New Roman" w:hAnsi="Times New Roman" w:cs="Times New Roman"/>
          <w:color w:val="000000" w:themeColor="text1"/>
          <w:kern w:val="0"/>
          <w:sz w:val="28"/>
          <w:szCs w:val="28"/>
          <w:lang w:val="vi-VN"/>
          <w14:ligatures w14:val="none"/>
        </w:rPr>
        <w:t>Tóm lại, trí tuệ nhân tạo là bước tiến mới của công nghệ kỹ thuật số và sẽ có tác động sâu sắc đến thế giới của chúng ta. Nó sẽ mang lại những tác động to lớn về công nghệ, kinh tế và xã hội, đồng thời sẽ thay đổi cách chúng ta sản xuất và tiêu thụ hàng hóa, dịch vụ và thực sự nó sẽ thay đổi cả cách sống của thế giới loài người. Nói cách khác, việc xem xét áp dụng trí tuệ nhân tạo không đơn thuần chỉ trong khuôn khổ của một lĩnh vực mà cần phải được nhìn nhận trên phạm vi tương đối bao quát, trong đó có lĩnh vực pháp luật. </w:t>
      </w:r>
      <w:bookmarkStart w:id="4" w:name="_Hlk81904091"/>
      <w:r w:rsidRPr="000B0F3D">
        <w:rPr>
          <w:rFonts w:ascii="Times New Roman" w:eastAsia="Times New Roman" w:hAnsi="Times New Roman" w:cs="Times New Roman"/>
          <w:color w:val="000000" w:themeColor="text1"/>
          <w:kern w:val="0"/>
          <w:sz w:val="28"/>
          <w:szCs w:val="28"/>
          <w:bdr w:val="none" w:sz="0" w:space="0" w:color="auto" w:frame="1"/>
          <w:lang w:val="vi-VN"/>
          <w14:ligatures w14:val="none"/>
        </w:rPr>
        <w:t>C</w:t>
      </w:r>
      <w:bookmarkEnd w:id="4"/>
      <w:r w:rsidRPr="000B0F3D">
        <w:rPr>
          <w:rFonts w:ascii="Times New Roman" w:eastAsia="Times New Roman" w:hAnsi="Times New Roman" w:cs="Times New Roman"/>
          <w:color w:val="000000" w:themeColor="text1"/>
          <w:kern w:val="0"/>
          <w:sz w:val="28"/>
          <w:szCs w:val="28"/>
          <w:lang w:val="vi-VN"/>
          <w14:ligatures w14:val="none"/>
        </w:rPr>
        <w:t>ó thể đưa ra một số tiêu chí để nhận diện hệ thống pháp luật hoàn thiện nhằm điều chỉnh và hỗ trợ cho lĩnh vực TTNT: có đạo luật chuyên ngành về điều chỉnh các quan hệ về phát triển và sử dụng công nghệ robot; có hệ thống cơ quan nhà nước chịu trách nhiệm trong lĩnh vực công nghệ robot; có chương trình quốc gia về phát triển ngành công nghiệp robot và có khung pháp pháp lý thí điểm cho việc thử nghiệm công nghệ robot. Hiện nay, ngay cả một số quốc gia phát triển trong lĩnh vực công nghệ này cũng chưa phải là đã đáp ứng đầy đủ những yếu tố nêu trên. Tuy nhiên, những kinh nghiệm nêu trên của các quốc gia phát triển có thể được coi là những hình mẫu quan trọng cho các hoạt động lập pháp về TTNT ở các quốc gia, trong đó có Việt Nam./.</w:t>
      </w:r>
    </w:p>
    <w:p w14:paraId="255277F5" w14:textId="77777777" w:rsidR="003B5CA5" w:rsidRPr="000B0F3D" w:rsidRDefault="003B5CA5" w:rsidP="00E71244">
      <w:pPr>
        <w:ind w:firstLine="709"/>
        <w:jc w:val="both"/>
        <w:rPr>
          <w:rFonts w:ascii="Times New Roman" w:hAnsi="Times New Roman" w:cs="Times New Roman"/>
          <w:color w:val="000000" w:themeColor="text1"/>
          <w:sz w:val="28"/>
          <w:szCs w:val="28"/>
          <w:lang w:val="vi-VN"/>
        </w:rPr>
      </w:pPr>
    </w:p>
    <w:p w14:paraId="67D0BBBB"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bdr w:val="none" w:sz="0" w:space="0" w:color="auto" w:frame="1"/>
          <w:lang w:val="vi-VN"/>
          <w14:ligatures w14:val="none"/>
        </w:rPr>
        <w:t>Tài liệu tham khảo</w:t>
      </w:r>
    </w:p>
    <w:p w14:paraId="4DBEEAF2"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bdr w:val="none" w:sz="0" w:space="0" w:color="auto" w:frame="1"/>
          <w:lang w:val="vi-VN"/>
          <w14:ligatures w14:val="none"/>
        </w:rPr>
        <w:t>Tiếng Việt</w:t>
      </w:r>
    </w:p>
    <w:p w14:paraId="304822FA"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1. Nguyễn Thị Quế Anh, </w:t>
      </w: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Nhận diện sự thay đổi của pháp luật trong bối cảnh công nghệ số</w:t>
      </w:r>
      <w:r w:rsidRPr="000B0F3D">
        <w:rPr>
          <w:rFonts w:ascii="Times New Roman" w:eastAsia="Times New Roman" w:hAnsi="Times New Roman" w:cs="Times New Roman"/>
          <w:color w:val="000000" w:themeColor="text1"/>
          <w:kern w:val="0"/>
          <w:sz w:val="28"/>
          <w:szCs w:val="28"/>
          <w:lang w:val="vi-VN"/>
          <w14:ligatures w14:val="none"/>
        </w:rPr>
        <w:t>. Kỷ yếu Hội thảo quốc tế "Luật học trước biến đổi của thời đại", tổ chức tại Khoa Luật - ĐHQGHN, tháng 8/2019, tập 2.</w:t>
      </w:r>
    </w:p>
    <w:p w14:paraId="5A729B39"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2. Nguyễn Thị Quế Anh. </w:t>
      </w: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Bảo vệ dữ liệu cá nhân trong kỷ nguyên số - Kinh nghiệm Châu Âu</w:t>
      </w:r>
      <w:r w:rsidRPr="000B0F3D">
        <w:rPr>
          <w:rFonts w:ascii="Times New Roman" w:eastAsia="Times New Roman" w:hAnsi="Times New Roman" w:cs="Times New Roman"/>
          <w:color w:val="000000" w:themeColor="text1"/>
          <w:kern w:val="0"/>
          <w:sz w:val="28"/>
          <w:szCs w:val="28"/>
          <w:lang w:val="vi-VN"/>
          <w14:ligatures w14:val="none"/>
        </w:rPr>
        <w:t>. Kỷ yếu Hội thảo quốc tế “Hoàn thiện pháp luật tư trong bối cảnh kỷ nguyên số - kinh nghiệm từ Đức và Việt Nam”, Hà Nội, 3.2019.</w:t>
      </w:r>
    </w:p>
    <w:p w14:paraId="79B9C1B4"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3. Báo Nhân dân (2017), </w:t>
      </w:r>
      <w:r w:rsidRPr="000B0F3D">
        <w:rPr>
          <w:rFonts w:ascii="Times New Roman" w:eastAsia="Times New Roman" w:hAnsi="Times New Roman" w:cs="Times New Roman"/>
          <w:i/>
          <w:iCs/>
          <w:color w:val="000000" w:themeColor="text1"/>
          <w:kern w:val="0"/>
          <w:sz w:val="28"/>
          <w:szCs w:val="28"/>
          <w:bdr w:val="none" w:sz="0" w:space="0" w:color="auto" w:frame="1"/>
          <w:lang w:val="vi-VN"/>
          <w14:ligatures w14:val="none"/>
        </w:rPr>
        <w:t>Facebook xóa sổ trí tuệ nhân tạo có khả năng tự sáng tạo ra ngôn ngữ mới</w:t>
      </w:r>
      <w:r w:rsidRPr="000B0F3D">
        <w:rPr>
          <w:rFonts w:ascii="Times New Roman" w:eastAsia="Times New Roman" w:hAnsi="Times New Roman" w:cs="Times New Roman"/>
          <w:color w:val="000000" w:themeColor="text1"/>
          <w:kern w:val="0"/>
          <w:sz w:val="28"/>
          <w:szCs w:val="28"/>
          <w:lang w:val="vi-VN"/>
          <w14:ligatures w14:val="none"/>
        </w:rPr>
        <w:t>, http://nhandan.com.vn/congnghe/item/33622102-facebook-xoa-so-tri-tue-nhan-tao-co-kha-nang-tu-sang-tao-ra-ngon-ngu-moi.html, truy cập ngày 15/8/2021.</w:t>
      </w:r>
    </w:p>
    <w:p w14:paraId="66491B16"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lastRenderedPageBreak/>
        <w:t>4. Lưu Minh Sang, Trần Đức Thành. </w:t>
      </w:r>
      <w:r w:rsidRPr="0080689F">
        <w:rPr>
          <w:rFonts w:ascii="Times New Roman" w:eastAsia="Times New Roman" w:hAnsi="Times New Roman" w:cs="Times New Roman"/>
          <w:i/>
          <w:iCs/>
          <w:color w:val="000000" w:themeColor="text1"/>
          <w:kern w:val="0"/>
          <w:sz w:val="28"/>
          <w:szCs w:val="28"/>
          <w:bdr w:val="none" w:sz="0" w:space="0" w:color="auto" w:frame="1"/>
          <w14:ligatures w14:val="none"/>
        </w:rPr>
        <w:t>Trí tuệ nhân tạo và những thách thức pháp lý</w:t>
      </w:r>
      <w:r w:rsidRPr="0080689F">
        <w:rPr>
          <w:rFonts w:ascii="Times New Roman" w:eastAsia="Times New Roman" w:hAnsi="Times New Roman" w:cs="Times New Roman"/>
          <w:color w:val="000000" w:themeColor="text1"/>
          <w:kern w:val="0"/>
          <w:sz w:val="28"/>
          <w:szCs w:val="28"/>
          <w14:ligatures w14:val="none"/>
        </w:rPr>
        <w:t>. Nguồn: Tạp chí Khoa học và công nghệ Việt Nam. https://vjst.vn/vn/tin-tuc/3303/tri-tue-nhan-tao-va-nhung-thach-thuc-phap-ly.aspx (truy cập 08/7/2021).</w:t>
      </w:r>
    </w:p>
    <w:p w14:paraId="1DA10F35"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5. Lê Lương Minh, </w:t>
      </w:r>
      <w:r w:rsidRPr="0080689F">
        <w:rPr>
          <w:rFonts w:ascii="Times New Roman" w:eastAsia="Times New Roman" w:hAnsi="Times New Roman" w:cs="Times New Roman"/>
          <w:i/>
          <w:iCs/>
          <w:color w:val="000000" w:themeColor="text1"/>
          <w:kern w:val="0"/>
          <w:sz w:val="28"/>
          <w:szCs w:val="28"/>
          <w:bdr w:val="none" w:sz="0" w:space="0" w:color="auto" w:frame="1"/>
          <w14:ligatures w14:val="none"/>
        </w:rPr>
        <w:t>Trí tuệ nhân tạo và quyền riêng tư</w:t>
      </w:r>
      <w:r w:rsidRPr="0080689F">
        <w:rPr>
          <w:rFonts w:ascii="Times New Roman" w:eastAsia="Times New Roman" w:hAnsi="Times New Roman" w:cs="Times New Roman"/>
          <w:color w:val="000000" w:themeColor="text1"/>
          <w:kern w:val="0"/>
          <w:sz w:val="28"/>
          <w:szCs w:val="28"/>
          <w14:ligatures w14:val="none"/>
        </w:rPr>
        <w:t>. Bài viết trong sách tham khảo “Trí tuệ nhân tạo với pháp luật và quyền con người”. Chủ biên: Nguyễn Thị Quế Anh, Vũ Công Giao và Mai Văn Thắng. Khoa Luật, ĐHQGHN. NXB Tư pháp, 2019.</w:t>
      </w:r>
    </w:p>
    <w:p w14:paraId="46D13387"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6. VNReview(2017), </w:t>
      </w:r>
      <w:r w:rsidRPr="0080689F">
        <w:rPr>
          <w:rFonts w:ascii="Times New Roman" w:eastAsia="Times New Roman" w:hAnsi="Times New Roman" w:cs="Times New Roman"/>
          <w:b/>
          <w:bCs/>
          <w:i/>
          <w:iCs/>
          <w:color w:val="000000" w:themeColor="text1"/>
          <w:kern w:val="0"/>
          <w:sz w:val="28"/>
          <w:szCs w:val="28"/>
          <w:bdr w:val="none" w:sz="0" w:space="0" w:color="auto" w:frame="1"/>
          <w14:ligatures w14:val="none"/>
        </w:rPr>
        <w:t>Facebook đã không hoảng sợ và tắt chương trình AI tự tạo ra ngôn ngữ như tin đồn</w:t>
      </w:r>
      <w:r w:rsidRPr="0080689F">
        <w:rPr>
          <w:rFonts w:ascii="Times New Roman" w:eastAsia="Times New Roman" w:hAnsi="Times New Roman" w:cs="Times New Roman"/>
          <w:b/>
          <w:bCs/>
          <w:color w:val="000000" w:themeColor="text1"/>
          <w:kern w:val="0"/>
          <w:sz w:val="28"/>
          <w:szCs w:val="28"/>
          <w:bdr w:val="none" w:sz="0" w:space="0" w:color="auto" w:frame="1"/>
          <w14:ligatures w14:val="none"/>
        </w:rPr>
        <w:t>, </w:t>
      </w:r>
      <w:r w:rsidRPr="0080689F">
        <w:rPr>
          <w:rFonts w:ascii="Times New Roman" w:eastAsia="Times New Roman" w:hAnsi="Times New Roman" w:cs="Times New Roman"/>
          <w:color w:val="000000" w:themeColor="text1"/>
          <w:kern w:val="0"/>
          <w:sz w:val="28"/>
          <w:szCs w:val="28"/>
          <w14:ligatures w14:val="none"/>
        </w:rPr>
        <w:t> http://vnreview.vn/tin-tuc-khoa-hoc-cong-nghe/-/view_content/content/2232722/facebook-da-khong-hoang-so-va-tat-ai-tu-tao-ra-ngon-ngu-nhu-tin-don, truy cập ngày 15/8/2021.</w:t>
      </w:r>
    </w:p>
    <w:p w14:paraId="62B2A2A0"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bdr w:val="none" w:sz="0" w:space="0" w:color="auto" w:frame="1"/>
          <w14:ligatures w14:val="none"/>
        </w:rPr>
        <w:t>Tiếng Anh</w:t>
      </w:r>
    </w:p>
    <w:p w14:paraId="7A15B321" w14:textId="66B9BAE3" w:rsidR="003B5CA5" w:rsidRPr="0080689F" w:rsidRDefault="003B5CA5" w:rsidP="000A2965">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7. European Parliament, Resolution 2015/2103 (INL), </w:t>
      </w:r>
      <w:r w:rsidR="000A2965">
        <w:rPr>
          <w:rFonts w:ascii="Times New Roman" w:eastAsia="Times New Roman" w:hAnsi="Times New Roman" w:cs="Times New Roman"/>
          <w:color w:val="000000" w:themeColor="text1"/>
          <w:kern w:val="0"/>
          <w:sz w:val="28"/>
          <w:szCs w:val="28"/>
          <w14:ligatures w14:val="none"/>
        </w:rPr>
        <w:t xml:space="preserve"> </w:t>
      </w:r>
      <w:hyperlink r:id="rId15" w:tgtFrame="_blank" w:history="1">
        <w:r w:rsidRPr="0080689F">
          <w:rPr>
            <w:rFonts w:ascii="Times New Roman" w:eastAsia="Times New Roman" w:hAnsi="Times New Roman" w:cs="Times New Roman"/>
            <w:color w:val="000000" w:themeColor="text1"/>
            <w:kern w:val="0"/>
            <w:sz w:val="28"/>
            <w:szCs w:val="28"/>
            <w:u w:val="single"/>
            <w:bdr w:val="none" w:sz="0" w:space="0" w:color="auto" w:frame="1"/>
            <w14:ligatures w14:val="none"/>
          </w:rPr>
          <w:t>https://www.europarl.europa.eu/doceo/document/TA-8-2017-0051_EN.pdf</w:t>
        </w:r>
      </w:hyperlink>
      <w:r w:rsidRPr="0080689F">
        <w:rPr>
          <w:rFonts w:ascii="Times New Roman" w:eastAsia="Times New Roman" w:hAnsi="Times New Roman" w:cs="Times New Roman"/>
          <w:color w:val="000000" w:themeColor="text1"/>
          <w:kern w:val="0"/>
          <w:sz w:val="28"/>
          <w:szCs w:val="28"/>
          <w14:ligatures w14:val="none"/>
        </w:rPr>
        <w:t>, (truy cập 20/8/2021).</w:t>
      </w:r>
    </w:p>
    <w:p w14:paraId="2D86057B"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8. Federal Ministry of Education and Research of Germany. (2021). </w:t>
      </w:r>
      <w:r w:rsidRPr="0080689F">
        <w:rPr>
          <w:rFonts w:ascii="Times New Roman" w:eastAsia="Times New Roman" w:hAnsi="Times New Roman" w:cs="Times New Roman"/>
          <w:i/>
          <w:iCs/>
          <w:color w:val="000000" w:themeColor="text1"/>
          <w:kern w:val="0"/>
          <w:sz w:val="28"/>
          <w:szCs w:val="28"/>
          <w:bdr w:val="none" w:sz="0" w:space="0" w:color="auto" w:frame="1"/>
          <w14:ligatures w14:val="none"/>
        </w:rPr>
        <w:t>The high-tech strategy 2025</w:t>
      </w:r>
      <w:r w:rsidRPr="0080689F">
        <w:rPr>
          <w:rFonts w:ascii="Times New Roman" w:eastAsia="Times New Roman" w:hAnsi="Times New Roman" w:cs="Times New Roman"/>
          <w:color w:val="000000" w:themeColor="text1"/>
          <w:kern w:val="0"/>
          <w:sz w:val="28"/>
          <w:szCs w:val="28"/>
          <w14:ligatures w14:val="none"/>
        </w:rPr>
        <w:t>. The Federal Government, tại: </w:t>
      </w:r>
      <w:hyperlink r:id="rId16" w:tgtFrame="_blank" w:history="1">
        <w:r w:rsidRPr="0080689F">
          <w:rPr>
            <w:rFonts w:ascii="Times New Roman" w:eastAsia="Times New Roman" w:hAnsi="Times New Roman" w:cs="Times New Roman"/>
            <w:color w:val="000000" w:themeColor="text1"/>
            <w:kern w:val="0"/>
            <w:sz w:val="28"/>
            <w:szCs w:val="28"/>
            <w:u w:val="single"/>
            <w:bdr w:val="none" w:sz="0" w:space="0" w:color="auto" w:frame="1"/>
            <w14:ligatures w14:val="none"/>
          </w:rPr>
          <w:t>https://www.bmbf.de/upload_filestore/pub/Research_and_innovation_that_benefit_the_people.pdf</w:t>
        </w:r>
      </w:hyperlink>
    </w:p>
    <w:p w14:paraId="098D0957"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9. Federal Ministry for Economic Affairs and Energy of Germany. (2019). </w:t>
      </w:r>
      <w:r w:rsidRPr="0080689F">
        <w:rPr>
          <w:rFonts w:ascii="Times New Roman" w:eastAsia="Times New Roman" w:hAnsi="Times New Roman" w:cs="Times New Roman"/>
          <w:i/>
          <w:iCs/>
          <w:color w:val="000000" w:themeColor="text1"/>
          <w:kern w:val="0"/>
          <w:sz w:val="28"/>
          <w:szCs w:val="28"/>
          <w:bdr w:val="none" w:sz="0" w:space="0" w:color="auto" w:frame="1"/>
          <w14:ligatures w14:val="none"/>
        </w:rPr>
        <w:t>Making space for innovation. The handbook for regulatory sandboxes</w:t>
      </w:r>
      <w:r w:rsidRPr="0080689F">
        <w:rPr>
          <w:rFonts w:ascii="Times New Roman" w:eastAsia="Times New Roman" w:hAnsi="Times New Roman" w:cs="Times New Roman"/>
          <w:color w:val="000000" w:themeColor="text1"/>
          <w:kern w:val="0"/>
          <w:sz w:val="28"/>
          <w:szCs w:val="28"/>
          <w14:ligatures w14:val="none"/>
        </w:rPr>
        <w:t>. The Federal Government. </w:t>
      </w:r>
      <w:hyperlink r:id="rId17" w:tgtFrame="_blank" w:history="1">
        <w:r w:rsidRPr="0080689F">
          <w:rPr>
            <w:rFonts w:ascii="Times New Roman" w:eastAsia="Times New Roman" w:hAnsi="Times New Roman" w:cs="Times New Roman"/>
            <w:color w:val="000000" w:themeColor="text1"/>
            <w:kern w:val="0"/>
            <w:sz w:val="28"/>
            <w:szCs w:val="28"/>
            <w:u w:val="single"/>
            <w:bdr w:val="none" w:sz="0" w:space="0" w:color="auto" w:frame="1"/>
            <w14:ligatures w14:val="none"/>
          </w:rPr>
          <w:t>https://www.bmwi.de/Redaktion/EN/Publikationen/Digitale-Welt/handbook-regulatory-sandboxes.pdf?__blob=publicationFile&amp;v=2</w:t>
        </w:r>
      </w:hyperlink>
      <w:r w:rsidRPr="0080689F">
        <w:rPr>
          <w:rFonts w:ascii="Times New Roman" w:eastAsia="Times New Roman" w:hAnsi="Times New Roman" w:cs="Times New Roman"/>
          <w:color w:val="000000" w:themeColor="text1"/>
          <w:kern w:val="0"/>
          <w:sz w:val="28"/>
          <w:szCs w:val="28"/>
          <w14:ligatures w14:val="none"/>
        </w:rPr>
        <w:t>, (truy cập 20/8/2021).</w:t>
      </w:r>
    </w:p>
    <w:p w14:paraId="02AC174A"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bdr w:val="none" w:sz="0" w:space="0" w:color="auto" w:frame="1"/>
          <w14:ligatures w14:val="none"/>
        </w:rPr>
        <w:t>TiếngNga</w:t>
      </w:r>
    </w:p>
    <w:p w14:paraId="1F062CB4"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10. Нормы гражданского права о робототехнике. Резолюция Европарламента от 16 февраля 2017 года. Xem: http://robopravo.ru/riezoliutsiia_ies (truy cập: 22/8/2021).</w:t>
      </w:r>
    </w:p>
    <w:p w14:paraId="4AEDBF6C"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11. Исследовательский центр проблем регулирования робототехники. (2017). </w:t>
      </w:r>
      <w:r w:rsidRPr="0080689F">
        <w:rPr>
          <w:rFonts w:ascii="Times New Roman" w:eastAsia="Times New Roman" w:hAnsi="Times New Roman" w:cs="Times New Roman"/>
          <w:i/>
          <w:iCs/>
          <w:color w:val="000000" w:themeColor="text1"/>
          <w:kern w:val="0"/>
          <w:sz w:val="28"/>
          <w:szCs w:val="28"/>
          <w:bdr w:val="none" w:sz="0" w:space="0" w:color="auto" w:frame="1"/>
          <w14:ligatures w14:val="none"/>
        </w:rPr>
        <w:t>Восьмой закон о внесении изменений в Закон о дорожном движении от 16 июня 2017 г, </w:t>
      </w:r>
      <w:r w:rsidRPr="0080689F">
        <w:rPr>
          <w:rFonts w:ascii="Times New Roman" w:eastAsia="Times New Roman" w:hAnsi="Times New Roman" w:cs="Times New Roman"/>
          <w:color w:val="000000" w:themeColor="text1"/>
          <w:kern w:val="0"/>
          <w:sz w:val="28"/>
          <w:szCs w:val="28"/>
          <w14:ligatures w14:val="none"/>
        </w:rPr>
        <w:t>tại:</w:t>
      </w:r>
    </w:p>
    <w:p w14:paraId="1DD56E66" w14:textId="77777777" w:rsidR="003B5CA5" w:rsidRPr="0080689F" w:rsidRDefault="00B12A04" w:rsidP="00E71244">
      <w:pPr>
        <w:ind w:firstLine="709"/>
        <w:jc w:val="both"/>
        <w:rPr>
          <w:rFonts w:ascii="Times New Roman" w:eastAsia="Times New Roman" w:hAnsi="Times New Roman" w:cs="Times New Roman"/>
          <w:color w:val="000000" w:themeColor="text1"/>
          <w:kern w:val="0"/>
          <w:sz w:val="28"/>
          <w:szCs w:val="28"/>
          <w14:ligatures w14:val="none"/>
        </w:rPr>
      </w:pPr>
      <w:hyperlink r:id="rId18" w:tgtFrame="_blank" w:history="1">
        <w:r w:rsidR="003B5CA5" w:rsidRPr="0080689F">
          <w:rPr>
            <w:rFonts w:ascii="Times New Roman" w:eastAsia="Times New Roman" w:hAnsi="Times New Roman" w:cs="Times New Roman"/>
            <w:color w:val="000000" w:themeColor="text1"/>
            <w:kern w:val="0"/>
            <w:sz w:val="28"/>
            <w:szCs w:val="28"/>
            <w:u w:val="single"/>
            <w:bdr w:val="none" w:sz="0" w:space="0" w:color="auto" w:frame="1"/>
            <w14:ligatures w14:val="none"/>
          </w:rPr>
          <w:t>https://robopravo.ru/initsiativy_frantsii_v_sfierie_robototiekhniki_2013_2</w:t>
        </w:r>
      </w:hyperlink>
    </w:p>
    <w:p w14:paraId="1FF90291"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12. Интервью с Беном Лорикой, ведущим специалистом по работе с данными компании O’Reilly Media. Взаимосвязь между защитой персональных данных, обучением машин и искусственным интеллектом. Nguồn: https://www.wipo.int/tech_trends/ru/artificial_intelligence/ask_the_experts/techtrends_ai_lorica.html (truy cập 28/8/2021).</w:t>
      </w:r>
    </w:p>
    <w:p w14:paraId="2EE44167"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13. Директива Совета от 25 июля 1985 г. о сближении законов, регламентов и административных положений государств-членов, применяемых к ответственности за неисправную продукцию (85/374/ЕЭС). Xem: https://eulaw.edu.ru/spisok-dokumentov-po-pravu-evropejskogo-soyuza/dokumenty-o-pravah-cheloveka-i-grazhdanina/normativnye-akty-o-svobode-peredvizheniya-tovarov-lits-i-uslug/direktiva-soveta-ot-25-iyulya-1985-g-o-sblizhenii-zakonov-reglamentov-i-administrativnyh-polozhenij-gosudarstv-chlenov-primenyaemyh-k-otvetstvennosti-za-neispravnuyu-produktsiyu-85-374-ees-perevod/ (truy cập 18/8/2021).</w:t>
      </w:r>
    </w:p>
    <w:p w14:paraId="52D8D8E3" w14:textId="44F92146" w:rsidR="003B5CA5" w:rsidRPr="0080689F" w:rsidRDefault="003B5CA5" w:rsidP="000A2965">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14. Консультативный комитет «Конвенция о защите частных лиц в отношении автоматизированной обработки данных личного характера» (ETS No.108 tại: https://www.coe.int/en/web/conventions/full-list/-/conventions/treaty/108?module=treaty-detail&amp;treatynum=108)</w:t>
      </w:r>
    </w:p>
    <w:p w14:paraId="64054DAF" w14:textId="77777777" w:rsidR="003B5CA5" w:rsidRPr="0080689F" w:rsidRDefault="003B5CA5" w:rsidP="00E71244">
      <w:pPr>
        <w:ind w:firstLine="709"/>
        <w:jc w:val="both"/>
        <w:rPr>
          <w:rFonts w:ascii="Times New Roman" w:hAnsi="Times New Roman" w:cs="Times New Roman"/>
          <w:color w:val="000000" w:themeColor="text1"/>
          <w:sz w:val="28"/>
          <w:szCs w:val="28"/>
        </w:rPr>
      </w:pPr>
    </w:p>
    <w:p w14:paraId="512FE6E8" w14:textId="77777777" w:rsidR="000A2965" w:rsidRDefault="000A2965">
      <w:pPr>
        <w:rPr>
          <w:rFonts w:ascii="Times New Roman" w:eastAsia="Times New Roman" w:hAnsi="Times New Roman" w:cs="Times New Roman"/>
          <w:b/>
          <w:bCs/>
          <w:color w:val="000000" w:themeColor="text1"/>
          <w:kern w:val="36"/>
          <w:sz w:val="28"/>
          <w:szCs w:val="28"/>
          <w:lang w:val="vi-VN"/>
          <w14:ligatures w14:val="none"/>
        </w:rPr>
      </w:pPr>
      <w:r>
        <w:rPr>
          <w:rFonts w:ascii="Times New Roman" w:eastAsia="Times New Roman" w:hAnsi="Times New Roman" w:cs="Times New Roman"/>
          <w:b/>
          <w:bCs/>
          <w:color w:val="000000" w:themeColor="text1"/>
          <w:kern w:val="36"/>
          <w:sz w:val="28"/>
          <w:szCs w:val="28"/>
          <w:lang w:val="vi-VN"/>
          <w14:ligatures w14:val="none"/>
        </w:rPr>
        <w:br w:type="page"/>
      </w:r>
    </w:p>
    <w:p w14:paraId="04D27A81" w14:textId="4EA45634" w:rsidR="003B5CA5" w:rsidRPr="0093396A" w:rsidRDefault="0080689F" w:rsidP="005C711F">
      <w:pPr>
        <w:jc w:val="center"/>
        <w:rPr>
          <w:rFonts w:ascii="Times New Roman" w:eastAsia="Times New Roman" w:hAnsi="Times New Roman" w:cs="Times New Roman"/>
          <w:color w:val="000000" w:themeColor="text1"/>
          <w:kern w:val="0"/>
          <w:sz w:val="28"/>
          <w:szCs w:val="28"/>
          <w:lang w:val="vi-VN"/>
          <w14:ligatures w14:val="none"/>
        </w:rPr>
      </w:pPr>
      <w:r w:rsidRPr="0080689F">
        <w:rPr>
          <w:rFonts w:ascii="Times New Roman" w:hAnsi="Times New Roman" w:cs="Times New Roman"/>
          <w:b/>
          <w:bCs/>
          <w:color w:val="000000" w:themeColor="text1"/>
          <w:sz w:val="28"/>
          <w:szCs w:val="28"/>
          <w:lang w:val="vi-VN"/>
        </w:rPr>
        <w:lastRenderedPageBreak/>
        <w:t>BÀN VỀ B</w:t>
      </w:r>
      <w:r w:rsidRPr="000B0F3D">
        <w:rPr>
          <w:rFonts w:ascii="Times New Roman" w:hAnsi="Times New Roman" w:cs="Times New Roman"/>
          <w:b/>
          <w:bCs/>
          <w:color w:val="000000" w:themeColor="text1"/>
          <w:sz w:val="28"/>
          <w:szCs w:val="28"/>
          <w:lang w:val="vi-VN"/>
        </w:rPr>
        <w:t>ẢO VỆ DỮ LIỆU VÀ THÔNG TIN CÁ NHÂN</w:t>
      </w:r>
      <w:r w:rsidRPr="0080689F">
        <w:rPr>
          <w:rFonts w:ascii="Times New Roman" w:hAnsi="Times New Roman" w:cs="Times New Roman"/>
          <w:b/>
          <w:bCs/>
          <w:color w:val="000000" w:themeColor="text1"/>
          <w:sz w:val="28"/>
          <w:szCs w:val="28"/>
          <w:lang w:val="vi-VN"/>
        </w:rPr>
        <w:t xml:space="preserve"> </w:t>
      </w:r>
      <w:r>
        <w:rPr>
          <w:rFonts w:ascii="Times New Roman" w:hAnsi="Times New Roman" w:cs="Times New Roman"/>
          <w:b/>
          <w:bCs/>
          <w:color w:val="000000" w:themeColor="text1"/>
          <w:sz w:val="28"/>
          <w:szCs w:val="28"/>
          <w:lang w:val="vi-VN"/>
        </w:rPr>
        <w:br/>
      </w:r>
      <w:r w:rsidRPr="0080689F">
        <w:rPr>
          <w:rFonts w:ascii="Times New Roman" w:hAnsi="Times New Roman" w:cs="Times New Roman"/>
          <w:b/>
          <w:bCs/>
          <w:color w:val="000000" w:themeColor="text1"/>
          <w:sz w:val="28"/>
          <w:szCs w:val="28"/>
          <w:lang w:val="vi-VN"/>
        </w:rPr>
        <w:t>TỪ THỰC TIỄN VÀ GÓC ĐỘ PHÁP LÝ Ở VIỆT NAM</w:t>
      </w:r>
    </w:p>
    <w:p w14:paraId="7A25CF95" w14:textId="2B7E4054" w:rsidR="00A64B8B" w:rsidRPr="00A64B8B" w:rsidRDefault="00A64B8B" w:rsidP="00A64B8B">
      <w:pPr>
        <w:ind w:firstLine="709"/>
        <w:jc w:val="right"/>
        <w:rPr>
          <w:rFonts w:ascii="Times New Roman" w:hAnsi="Times New Roman" w:cs="Times New Roman"/>
          <w:b/>
          <w:color w:val="000000" w:themeColor="text1"/>
          <w:kern w:val="0"/>
          <w:sz w:val="28"/>
          <w:szCs w:val="28"/>
          <w:lang w:val="vi-VN"/>
        </w:rPr>
      </w:pPr>
      <w:r w:rsidRPr="00A64B8B">
        <w:rPr>
          <w:rFonts w:ascii="Times New Roman" w:hAnsi="Times New Roman" w:cs="Times New Roman"/>
          <w:b/>
          <w:color w:val="000000" w:themeColor="text1"/>
          <w:kern w:val="0"/>
          <w:sz w:val="28"/>
          <w:szCs w:val="28"/>
          <w:lang w:val="vi-VN"/>
        </w:rPr>
        <w:t>Luật sư Bùi Thanh Thương</w:t>
      </w:r>
    </w:p>
    <w:p w14:paraId="2576B1EE" w14:textId="68BD5517" w:rsidR="00A64B8B" w:rsidRPr="00A64B8B" w:rsidRDefault="00A64B8B" w:rsidP="00A64B8B">
      <w:pPr>
        <w:ind w:firstLine="709"/>
        <w:jc w:val="right"/>
        <w:rPr>
          <w:rFonts w:ascii="Times New Roman" w:hAnsi="Times New Roman" w:cs="Times New Roman"/>
          <w:b/>
          <w:color w:val="000000" w:themeColor="text1"/>
          <w:kern w:val="0"/>
          <w:sz w:val="28"/>
          <w:szCs w:val="28"/>
          <w:lang w:val="vi-VN"/>
        </w:rPr>
      </w:pPr>
      <w:r w:rsidRPr="00A64B8B">
        <w:rPr>
          <w:rFonts w:ascii="Times New Roman" w:hAnsi="Times New Roman" w:cs="Times New Roman"/>
          <w:b/>
          <w:color w:val="000000" w:themeColor="text1"/>
          <w:kern w:val="0"/>
          <w:sz w:val="28"/>
          <w:szCs w:val="28"/>
          <w:lang w:val="vi-VN"/>
        </w:rPr>
        <w:t>Văn phòng Luật sư Bùi Đình Ứng, Đoàn Luật sư TP Hà Nội</w:t>
      </w:r>
    </w:p>
    <w:p w14:paraId="1D4CAD44" w14:textId="77777777" w:rsidR="00A64B8B" w:rsidRDefault="00A64B8B" w:rsidP="00E71244">
      <w:pPr>
        <w:ind w:firstLine="709"/>
        <w:jc w:val="both"/>
        <w:rPr>
          <w:rFonts w:ascii="Times New Roman" w:hAnsi="Times New Roman" w:cs="Times New Roman"/>
          <w:b/>
          <w:bCs/>
          <w:color w:val="000000" w:themeColor="text1"/>
          <w:sz w:val="28"/>
          <w:szCs w:val="28"/>
          <w:lang w:val="vi-VN"/>
        </w:rPr>
      </w:pPr>
    </w:p>
    <w:p w14:paraId="19B24C08" w14:textId="4CEF8EF8" w:rsidR="003B5CA5" w:rsidRPr="000B0F3D" w:rsidRDefault="003B5CA5" w:rsidP="00E71244">
      <w:pPr>
        <w:ind w:firstLine="709"/>
        <w:jc w:val="both"/>
        <w:rPr>
          <w:rFonts w:ascii="Times New Roman" w:hAnsi="Times New Roman" w:cs="Times New Roman"/>
          <w:color w:val="000000" w:themeColor="text1"/>
          <w:kern w:val="0"/>
          <w:sz w:val="28"/>
          <w:szCs w:val="28"/>
          <w:lang w:val="vi-VN"/>
        </w:rPr>
      </w:pPr>
      <w:r w:rsidRPr="000B0F3D">
        <w:rPr>
          <w:rFonts w:ascii="Times New Roman" w:hAnsi="Times New Roman" w:cs="Times New Roman"/>
          <w:i/>
          <w:iCs/>
          <w:color w:val="000000" w:themeColor="text1"/>
          <w:kern w:val="0"/>
          <w:sz w:val="28"/>
          <w:szCs w:val="28"/>
          <w:lang w:val="vi-VN"/>
        </w:rPr>
        <w:t>Dữ liệu nói chung và dữ liệu cá nhân đang trở thành “nguồn vốn” hay “tài sản” có tầm quan trọng hàng đầu của nền kinh tế số hay nền kinh tế vận hành trên cơ sở dữ liệu sử dụng công nghệ số.</w:t>
      </w:r>
    </w:p>
    <w:p w14:paraId="02EFB512" w14:textId="2B79E366" w:rsidR="003B5CA5" w:rsidRPr="000B0F3D" w:rsidRDefault="003B5CA5" w:rsidP="0080689F">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Bài toán đặt ra, do đó là quản trị dữ liệu nói chung và quản lý dữ liệu nói riêng ở cấp độ quốc gia và tổ chức, doanh nghiệp phải được tổ chức, thiế</w:t>
      </w:r>
      <w:r w:rsidR="0080689F" w:rsidRPr="000B0F3D">
        <w:rPr>
          <w:rFonts w:ascii="Times New Roman" w:eastAsia="Times New Roman" w:hAnsi="Times New Roman" w:cs="Times New Roman"/>
          <w:color w:val="000000" w:themeColor="text1"/>
          <w:kern w:val="0"/>
          <w:sz w:val="28"/>
          <w:szCs w:val="28"/>
          <w:lang w:val="vi-VN"/>
          <w14:ligatures w14:val="none"/>
        </w:rPr>
        <w:t>t kế và triển khai như thế nào?</w:t>
      </w:r>
    </w:p>
    <w:p w14:paraId="41022092"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Có thể thấy rằng tiếp cận theo hướng nào thì việc định nghĩa dữ liệu, thông tin cá nhân cũng là công việc phức tạp, cho thấy tính tinh vi, nhạy cảm của môi trường tương tác giữa con người với nhau trong kỷ nguyên số và internet.</w:t>
      </w:r>
    </w:p>
    <w:p w14:paraId="09A86141"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Sự phát triển của công nghệ số, hạ tầng kỹ thuật mạng internet cần đi kèm với sự đồng bộ về hệ thống chính sách, khung phổ pháp luật, quy chế và năng lực của từng tổ chức và con người. Theo đó, các nhiệm vụ cụ thể cần giải quyết sẽ bao gồm các cơ chế và biện pháp bảo đảm đối với ba trụ cột chính là (i) An ninh mạng, (ii) An toàn dữ liệu cá nhân và (iii) Bảo vệ quyền riêng tư. Mục tiêu của các hoạt động cũng hướng tới khía cạnh: Tạo lập sân chơi kinh doanh và cạnh tranh bình đẳng giữa các doanh nghiệp sử dụng công nghệ nền tảng để xử lý, khai thác và chia sẻ dữ liệu; bảo đảm quyền của chủ thể dữ liệu là người dân và tạo cơ hội tham gia chủ động và cùng hưởng lợi của tất cả các bên tham gia.</w:t>
      </w:r>
    </w:p>
    <w:p w14:paraId="1BA7A76C"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Hiểu thế nào là dữ liệu, thông tin cá nhân?</w:t>
      </w:r>
    </w:p>
    <w:p w14:paraId="09CEA58A"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Trong nền kinh tế số, khi một tổ chức, doanh nghiệp có nhu cầu bảo vệ dữ liệu người dùng sẽ gặp phải vấn đề có tính pháp lý, đó là những dữ liệu, thông tin nào của họ sẽ cần được bảo vệ ? Bởi nền kinh tế số được đặc trưng bởi sự truyền tải và giao dịch thông tin xuyên biên giới, quy định pháp luật hay cách hiểu theo tập quán của mỗi quốc gia có thể khác nhau. Hiểu biết chung về khái niệm “dữ liệu, thông tin cá nhân” do vậy, rất cần thiết.</w:t>
      </w:r>
    </w:p>
    <w:p w14:paraId="57B167AA"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0B0F3D">
        <w:rPr>
          <w:rFonts w:ascii="Times New Roman" w:eastAsia="Times New Roman" w:hAnsi="Times New Roman" w:cs="Times New Roman"/>
          <w:color w:val="000000" w:themeColor="text1"/>
          <w:kern w:val="0"/>
          <w:sz w:val="28"/>
          <w:szCs w:val="28"/>
          <w:lang w:val="vi-VN"/>
          <w14:ligatures w14:val="none"/>
        </w:rPr>
        <w:t xml:space="preserve">Trên thế giới, mà cụ thể là Mỹ và châu Âu đang có hai cách tiếp cận trong định nghĩa về dữ liệu, thông tin cá nhân. </w:t>
      </w:r>
      <w:r w:rsidRPr="0080689F">
        <w:rPr>
          <w:rFonts w:ascii="Times New Roman" w:eastAsia="Times New Roman" w:hAnsi="Times New Roman" w:cs="Times New Roman"/>
          <w:color w:val="000000" w:themeColor="text1"/>
          <w:kern w:val="0"/>
          <w:sz w:val="28"/>
          <w:szCs w:val="28"/>
          <w14:ligatures w14:val="none"/>
        </w:rPr>
        <w:t xml:space="preserve">Nói chung, ở châu Âu, dữ liệu cá nhân </w:t>
      </w:r>
      <w:r w:rsidRPr="0080689F">
        <w:rPr>
          <w:rFonts w:ascii="Times New Roman" w:eastAsia="Times New Roman" w:hAnsi="Times New Roman" w:cs="Times New Roman"/>
          <w:color w:val="000000" w:themeColor="text1"/>
          <w:kern w:val="0"/>
          <w:sz w:val="28"/>
          <w:szCs w:val="28"/>
          <w14:ligatures w14:val="none"/>
        </w:rPr>
        <w:lastRenderedPageBreak/>
        <w:t>(personal data) có ý nghĩa mở rộng hơn so với thông tin cá nhân (personally identifiable information – PII) ở Mỹ.</w:t>
      </w:r>
    </w:p>
    <w:p w14:paraId="4BE2B801"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Cụ thể, theo định nghĩa của Bộ Thương mại Mỹ, PII là những thông tin “có thể sử dụng để phân biệt hay nhận dạng một cá nhân như tên, số an sinh xã hội, hồ sơ sinh trắc v.v.. nói riêng, hoặc khi kết hợp với các thông tin cá nhân hay thông tin nhận dạng khác liên quan hoặc có thể liên quan với một người cụ thể như ngày và nơi sinh, tên khai sinh của mẹ”.</w:t>
      </w:r>
    </w:p>
    <w:p w14:paraId="53B9D0A2"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Định nghĩa này phân biệt rất rõ hai tình huống: Một là, thông tin để phân biệt cá nhân này với cá nhân khác ví dụ họ tên đầy đủ, địa chỉ email, số điện thoại, số định danh cá nhân (số hộ chiếu, số thẻ an sinh xã hội). Hai là, thông tin để nhận dạng một người sẽ bao gồm cấp độ có liên quan (ví dụ họ tên) và cấp độ có thể liên quan bởi phải kết hợp với thông tin khác mới có giá trị nhận dạng (ví dụ ngày tháng năm sinh).</w:t>
      </w:r>
    </w:p>
    <w:p w14:paraId="1A85C1A1"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Ý nghĩa pháp lý ở đây là gì? Trong trường hợp một người tình cờ tiếp cận được hai bộ dữ liệu chứa đựng các thông tin khác nhau về một người nào đó, người ấy có thể định dạng được đó là ai khi liên kết hai bộ này với nhau, và khi đó phát sinh vấn đề an ninh dữ liệu. Có nghĩa rằng việc kiểm soát phải được thiết kế làm sao để bảo đảm các bộ dữ liệu ấy không thể hay rất khó khăn để kết hợp với nhau, trong tình huống người tra cứu thông tin có thể tiếp cận các cơ sở dữ liệu của cùng một tổ chức hay sử dụng công cụ tìm kiếm trên internet.</w:t>
      </w:r>
    </w:p>
    <w:p w14:paraId="1861EABF"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Tại châu Âu, Quy chế bảo vệ dữ liệu chung (GDPR) do Nghị viện châu Âu và Hội đồng châu Âu ban hành năm 2016, có hiệu lực từ 25/05/2018 định nghĩa về dữ liệu cá nhân là “bất kể thông tin gì liên quan đến một thể nhân được nhận dạng hoặc có thể được nhận dạng (“chủ thể”); một thể nhân có thể được nhận dạng là người có thể được nhận dạng trực tiếp hay gián tiếp bằng việc tham chiếu số định danh hay một hoặc các yếu tố riêng về vật lý, sinh lý, tâm thần, kinh tế, văn hóa và xã hội”.</w:t>
      </w:r>
    </w:p>
    <w:p w14:paraId="7F777022"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xml:space="preserve">Định nghĩa này rõ ràng có sự bao quát rất rộng với bốn thành tố nội dung đáng lưu ý. Một là, “bất kể thông tin gì” có nghĩa rằng cả thông tin có được một cách chủ động và thụ động, bao gồm ví dụ cả ảnh của một người bất kỳ được chụp tự động bởi các camera giám sát. Hai là “liên quan đến” sẽ được hiểu liên quan bằng bất cứ phương diện nào như nội dung của thông tin, mục đích của thông tin hay kết quả của việc sử dụng thông tin v.v.. Ba là, “nhận dạng và có thể nhận dạng” sẽ bao gồm cấp độ rõ ràng tức có đủ yếu tố để phân biệt người này với người khác, và cấp độ không rõ ràng nhưng vẫn khả năng xác định được tùy thuộc </w:t>
      </w:r>
      <w:r w:rsidRPr="0080689F">
        <w:rPr>
          <w:rFonts w:ascii="Times New Roman" w:eastAsia="Times New Roman" w:hAnsi="Times New Roman" w:cs="Times New Roman"/>
          <w:color w:val="000000" w:themeColor="text1"/>
          <w:kern w:val="0"/>
          <w:sz w:val="28"/>
          <w:szCs w:val="28"/>
          <w14:ligatures w14:val="none"/>
        </w:rPr>
        <w:lastRenderedPageBreak/>
        <w:t>vào các điều kiện khác hay ngữ cảnh, ví dụ như nếu ai đó nói về một cá nhân gọi là “sếp tôi” thì người khác có thể nhận dạng đó là ai. Bốn là “thể nhân” là chủ thể dữ liệu, ở đây GDPR lấy theo định nghĩa của Điều 6, Tuyên ngôn phổ quát của Liên Hợp Quốc về Quyền con người, theo đó, chủ thể dữ liệu được bảo vệ là một cá nhân đang sống; tuy nhiên lưu ý là nếu dữ liệu về một người đã chết mà được sử dụng để nhận dạng một người khác còn sống thì cũng thuộc định nghĩa này.</w:t>
      </w:r>
    </w:p>
    <w:p w14:paraId="2415C4E2"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Trong định nghĩa chung về dữ liệu, thông tin cá nhân, cho mục đích bảo vệ ở cấp độ cao hơn, các nước thường có quy định riêng về “dữ liệu, thông tin nhạy cảm”. Tại Mỹ đó là những dữ liệu về y tế, giáo dục, tài chính và công việc, được cho rằng nếu bị tiết lộ sẽ có thể dẫn đến những lạm dụng, tấn công và gây thiệt hại cho người có liên quan. Tại châu Âu, GDPR cũng liệt kê năm loại dữ liệu cá nhân coi là “nhạy cảm” cho mục đích bảo vệ đặc biệt bao gồm: (i) Dữ liệu về chủng tộc, quan điểm chính trị và tôn giáo; (ii) dữ liệu về thành viên công đoàn; (iii) dữ liệu sinh học, sinh trắc học; (iv) dữ liệu sức khỏe; và (iv) dữ liệu về đời sống tình dục cá nhân và tương tự.</w:t>
      </w:r>
    </w:p>
    <w:p w14:paraId="722EE7BE"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Thông tin và dữ liệu cá nhân nhìn từ góc độ khung pháp lý ở Việt Nam</w:t>
      </w:r>
    </w:p>
    <w:p w14:paraId="0C7D5578"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Pháp luật Việt Nam có định nghĩa về thông tin cá nhân. Theo đó, Điều 3, Luật An toàn thông tin mạng 2015 định nghĩa: “Thông tin cá nhân là thông tin gắn với việc xác định danh tính của một người cụ thể”. Tuy nhiên trước đó, Nghị định 64/2007/NĐ-CP ngày 10/04/2007 về ứng dụng công nghệ thông tin trong hoạt động của cơ quan chính phủ có định nghĩa chi tiết hơn như sau: “Thông tin cá nhân là thông tin đủ để xác định chính xác danh tính một cá nhân, bao gồm ít nhất nội dung trong những thông tin sau đây: họ tên, ngày sinh, nghề nghiệp, chức danh, địa chỉ liên hệ, địa chỉ thư điện tử, số điện thoại, số chứng minh nhân dân, số hộ chiếu. Những thông tin thuộc bí mật cá nhân gồm có hồ sơ y tế, hồ sơ nộp thuế, số thẻ bảo hiểm xã hội, số thẻ tín dụng và những bí mật cá nhân khác”.</w:t>
      </w:r>
    </w:p>
    <w:p w14:paraId="3F44905F"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Ngoài ra, lưu ý rằng một số luật chuyên ngành như Luật Khám bệnh, chữa bệnh, Luật Quản lý thuế, Luật Tổ chức tín dụng, Luật Kinh doanh bảo hiểm v.v.. cũng có nhưng định nghĩa nhất định về thông tin cá nhân thuộc đối tượng bảo mật trong lĩnh vực có liên quan.</w:t>
      </w:r>
    </w:p>
    <w:p w14:paraId="446353B2"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Về quyền riêng tư, theo Điều 38, Bộ Luật Dân sự 2015 của Việt Nam quyền này được hiểu là sự bảo vệ của luật pháp đối với ba đối tượng “bất khả xâm phạm”, đó là đời sống riêng tư, bí mật cá nhân và bí mật gia đình.</w:t>
      </w:r>
    </w:p>
    <w:p w14:paraId="318E9C92"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lastRenderedPageBreak/>
        <w:t>Như vậy, kết hợp cả hai định nghĩa nói trên của hai văn bản quy phạm pháp luật, cho thấy “thông tin cá nhân” ở Việt Nam được hiểu theo nghĩa hẹp, trực tiếp và đơn giản hơn so với quy định của cả châu Âu và Mỹ. Theo đó, các thông tin không chính xác, rõ ràng nhưng kết hợp với các thông tin khác để gián tiếp xác định được danh tính một người không được coi là đối tượng bảo vệ. Còn đối với quyền riêng tư thì ngược lại, pháp luật Việt Nam chỉ có quy định rất chung và do đó, có thể suy luận theo hướng mở rộng.</w:t>
      </w:r>
    </w:p>
    <w:p w14:paraId="47195CC3"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Lưu ý rằng ở các nước, định nghĩa về phạm vi quyền riêng tư luôn luôn khó và phức tạp, tuy nhiên kết hợp với diễn giải của chuyên gia pháp lý và thực tiễn xét xử của Tòa án, người ta có thể xác định ranh giới giữa “bí mật riêng tư” và “thông tin công khai” để giảm thiểu các tranh cãi và tranh chấp. Chẳng hạn, ngoài những không gian được gắn biển rõ ràng là “tư riêng” (private) hay “công cộng” (public), có một nguyên tắc được thừa nhận chung: Đó là những gì thuộc đời sống riêng của anh mà anh không chủ động tuyên bố rõ ràng hay có biện pháp thích hợp để che giấu, làm cho một người khác theo cách thông thường có thể biết được thì anh sẽ không được pháp luật bảo vệ đối với quyền riêng tư ấy. Về khía cạnh này, Điều 16, Luật An toàn thông tin mạng cũng quy định một nguyên tắc rằng: “Cá nhân tự bảo vệ thông tin cá nhân của mình…”.</w:t>
      </w:r>
    </w:p>
    <w:p w14:paraId="330888DF"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Tóm lại, với phân tích ở trên, có thể thấy rằng tiếp cận theo hướng nào thì việc định nghĩa dữ liệu, thông tin cá nhân cũng là công việc phức tạp, cho thấy tính tinh vi, nhạy cảm của môi trường tương tác giữa con người với nhau trong kỷ nguyên số và internet. Một định nghĩa với duy nhất một câu trong quy định của pháp luật Việt Nam rõ ràng chưa đủ để hình dung bản chất của khái niệm, nếu không tìm hiểu, đối chiếu và so sánh với quy định tương tự của các nước.</w:t>
      </w:r>
    </w:p>
    <w:p w14:paraId="6977994B"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Cần có một đạo luật riêng về bảo vệ thông tin, dữ liệu cá nhân và quyền riêng tư cho Việt Nam</w:t>
      </w:r>
    </w:p>
    <w:p w14:paraId="2C40BA9F"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xml:space="preserve">Xét trên bình diện toàn cầu, tiên phong là châu Âu và Hoa Kỳ, mặc dù có những cách tiếp cận khác nhau giữa hai nền kinh tế lớn hàng đầu thế giới, điểm chung lớn nhất vẫn là sự quan tâm sớm nhất đến bảo vệ dữ liệu và quyền riêng tư. Sự tiệm cận đến gần nhau hơn đang diễn ra theo hướng bảo vệ dữ liệu để phát triển kinh tế phải gắn với bảo vệ quyền riêng tư của con người. Việt Nam là quốc gia có sự quan tâm rất sớm so với các nước có cùng trình độ phát triển đến cuộc Cách mạng công nghiệp 4.0 nói chung và công nghệ số, nền kinh tế số nói riêng. Cùng với các ý tưởng chính sách, các cơ sở pháp lý ban đầu cho phát triển giao dịch điện tử, bảo đảm tự do internet và quá trình chuyển đổi số đã được thiết lập, </w:t>
      </w:r>
      <w:r w:rsidRPr="0080689F">
        <w:rPr>
          <w:rFonts w:ascii="Times New Roman" w:eastAsia="Times New Roman" w:hAnsi="Times New Roman" w:cs="Times New Roman"/>
          <w:color w:val="000000" w:themeColor="text1"/>
          <w:kern w:val="0"/>
          <w:sz w:val="28"/>
          <w:szCs w:val="28"/>
          <w14:ligatures w14:val="none"/>
        </w:rPr>
        <w:lastRenderedPageBreak/>
        <w:t>mặc dù cách đặt vấn đề và giải quyết vấn đề ở mức độ nhất định chưa thật sự rõ ràng, rành mạch và có tính chuyên nghiệp cao như thông lệ thế giới. Tuy nhiên, điều này có thể khắc phục thông qua hướng đi chính, thứ nhất cần xây dựng một đạo luật thống nhất cho vấn đề này để khắc phục tình trạng tản mát của nhiều văn bản hiện nay, đồng thời cụ thể hóa và bổ sung các thiết chế thực thi pháp lý mạnh mẽ và chặt chẽ hơn. Thứ hai, cần có một chiến lược quốc gia về dữ liệu đặt nền tảng cho một khung hành động tổng thể ở cấp độ quốc gia, trong đó có sự phối hợp mạch lạc giữa cả ba khu vực nhà nước, doanh nghiệp và các tổ chức xã hội.</w:t>
      </w:r>
    </w:p>
    <w:p w14:paraId="4A444093"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p>
    <w:p w14:paraId="376E26F0"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Dù có ý thức xây dựng và nhắc đến việc Bảo vệ dữ liệu và quyền riêng tư trong nhiều văn bản pháp luật nhưng khung khổ pháp luật Việt Nam về vấn đề này chưa đầy đủ, còn chồng chéo nhất định về nội dung giữa các văn bản có liên quan ở cấp độ luật và nghị định. Đặc biệt là tình trạng nhiều cơ quan chức năng nhà nước cùng tham gia quản lý lĩnh vực này nhưng lại thiếu sự phân định rành mạch về chức năng, nhiệm vụ cũng như chỉ định cơ quan đầu mối phụ trách.</w:t>
      </w:r>
    </w:p>
    <w:p w14:paraId="6A00DC3E" w14:textId="5E4D3E3E" w:rsidR="003B5CA5" w:rsidRPr="0080689F" w:rsidRDefault="003B5CA5" w:rsidP="00CF71AC">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‘Chẳng hạn như khung khổ pháp luật để bảo vệ quyền riêng tư được tạo ra bởi Bộ Luật dân sự hay các chế tài của Luật xử phạt vi phạm hành chính, không có tính hiệu quả và đầy đủ khi xét tới các giao dịch liên quan trong môi trường là không gian mạng, đối tượng cần bảo vệ là dữ liệu được thu thập xử lý, lưu giữ và chia sẻ bằng công nghệ số. Từ góc độ của Bộ Luật dân sự, quyền riêng tư được coi là quyền nhân thân, thì trong nền kinh tế dữ liệu, một khi dữ liệu cá nhần là tài sản có giá trị thì quyền với dữ liệu đó phải được coi là quyền tải sản. Và dù luật an toàn thông tin mạng đã đề cập đến này nhưng mới dừng ở mức quyền cơ bản và tối thiểu của chủ thể dữ liệu và còn thiếu hẳn cơ chế thực thi quyền một cách hiệu quả”.</w:t>
      </w:r>
    </w:p>
    <w:p w14:paraId="3E0E2139"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Thông tin tin cá nhân trong các văn bản quy định hiện hành cũng đang có 3-4 khái niệm, chưa nhất quán và bao quát hết các vấn đề và đặc biệt chưa phân tầng độ nhạy cảm của thông tin cá nhân. “Ví dụ như danh tính cá nhân có thể mức bảo vệ là một nhưng thông tin sức khỏe, sinh trắc, tài chính thì cần phải bảo mật cao hơn. Điều này không thể quy định chung chung mà cần phải nêu rõ ràng. Hay dữ liệu trẻ em cũng chưa quy định rõ, việc thu thập cần sự đồng ý của những ai: trẻ em, bố mẹ hay người giám hộ?”.</w:t>
      </w:r>
    </w:p>
    <w:p w14:paraId="3F1D545C"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p>
    <w:p w14:paraId="633A204A" w14:textId="78E8C44E" w:rsidR="003B5CA5" w:rsidRPr="00DA096E" w:rsidRDefault="003B5CA5" w:rsidP="00E71244">
      <w:pPr>
        <w:ind w:firstLine="709"/>
        <w:jc w:val="both"/>
        <w:rPr>
          <w:rFonts w:ascii="Times New Roman" w:eastAsia="Times New Roman" w:hAnsi="Times New Roman" w:cs="Times New Roman"/>
          <w:b/>
          <w:bCs/>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lang w:val="vi-VN"/>
          <w14:ligatures w14:val="none"/>
        </w:rPr>
        <w:lastRenderedPageBreak/>
        <w:t>Quy định hiện hành về bảo vệ dữ liệu cá nhân trong lĩnh vực sử dụng lao động</w:t>
      </w:r>
      <w:r w:rsidR="00DA096E">
        <w:rPr>
          <w:rFonts w:ascii="Times New Roman" w:eastAsia="Times New Roman" w:hAnsi="Times New Roman" w:cs="Times New Roman"/>
          <w:b/>
          <w:bCs/>
          <w:color w:val="000000" w:themeColor="text1"/>
          <w:kern w:val="0"/>
          <w:sz w:val="28"/>
          <w:szCs w:val="28"/>
          <w14:ligatures w14:val="none"/>
        </w:rPr>
        <w:t>.</w:t>
      </w:r>
    </w:p>
    <w:p w14:paraId="37E25FA6" w14:textId="4EC54A60" w:rsidR="003B5CA5" w:rsidRPr="000B0F3D" w:rsidRDefault="003B5CA5" w:rsidP="0080689F">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Ngày 17 tháng 4 năm 2023 Chính phủ đã ban hành Nghị định số 13/2023/NĐ-CP Bảo vệ dữ liệu cá nhân. Điểm nổi bật của Nghị định này là đã đưa ra một khái niệm toàn diện về dữ liệu cá nhân bao gồm ký hiệu, chữ viết, chữ số, hình ảnh, âm thanh được nhận diện trong môi trường vật chất truyền thống và cả môi trường điện tử. Theo đó, cơ quan, tổ chức, cá nhân vi phạm quy định bảo vệ dữ liệu cá nhân tùy theo mức độ có thể bị xử lý kỷ luật, xử phạt vi phạm hành chín</w:t>
      </w:r>
      <w:r w:rsidR="0080689F" w:rsidRPr="000B0F3D">
        <w:rPr>
          <w:rFonts w:ascii="Times New Roman" w:eastAsia="Times New Roman" w:hAnsi="Times New Roman" w:cs="Times New Roman"/>
          <w:b/>
          <w:bCs/>
          <w:color w:val="000000" w:themeColor="text1"/>
          <w:kern w:val="0"/>
          <w:sz w:val="28"/>
          <w:szCs w:val="28"/>
          <w:lang w:val="vi-VN"/>
          <w14:ligatures w14:val="none"/>
        </w:rPr>
        <w:t>h, xử lý hình sự theo quy định.</w:t>
      </w:r>
    </w:p>
    <w:p w14:paraId="027C350E" w14:textId="77777777" w:rsidR="003B5CA5" w:rsidRPr="000B0F3D" w:rsidRDefault="00B12A04" w:rsidP="00E71244">
      <w:pPr>
        <w:ind w:firstLine="709"/>
        <w:jc w:val="both"/>
        <w:rPr>
          <w:rFonts w:ascii="Times New Roman" w:eastAsia="Times New Roman" w:hAnsi="Times New Roman" w:cs="Times New Roman"/>
          <w:color w:val="000000" w:themeColor="text1"/>
          <w:kern w:val="0"/>
          <w:sz w:val="28"/>
          <w:szCs w:val="28"/>
          <w:lang w:val="vi-VN"/>
          <w14:ligatures w14:val="none"/>
        </w:rPr>
      </w:pPr>
      <w:hyperlink r:id="rId19" w:history="1">
        <w:r w:rsidR="003B5CA5" w:rsidRPr="000B0F3D">
          <w:rPr>
            <w:rFonts w:ascii="Times New Roman" w:eastAsia="Times New Roman" w:hAnsi="Times New Roman" w:cs="Times New Roman"/>
            <w:color w:val="000000" w:themeColor="text1"/>
            <w:kern w:val="0"/>
            <w:sz w:val="28"/>
            <w:szCs w:val="28"/>
            <w:u w:val="single"/>
            <w:lang w:val="vi-VN"/>
            <w14:ligatures w14:val="none"/>
          </w:rPr>
          <w:t>Nghị định 13/2023/NĐ-CP</w:t>
        </w:r>
      </w:hyperlink>
      <w:r w:rsidR="003B5CA5" w:rsidRPr="000B0F3D">
        <w:rPr>
          <w:rFonts w:ascii="Times New Roman" w:eastAsia="Times New Roman" w:hAnsi="Times New Roman" w:cs="Times New Roman"/>
          <w:color w:val="000000" w:themeColor="text1"/>
          <w:kern w:val="0"/>
          <w:sz w:val="28"/>
          <w:szCs w:val="28"/>
          <w:lang w:val="vi-VN"/>
          <w14:ligatures w14:val="none"/>
        </w:rPr>
        <w:t> (NĐ13) có hiệu lực kể từ 01/7/2023 là một bước tiến đáng kể trong hệ thống văn bản quy phạm pháp luật về bảo vệ dữ liệu cá nhân. Đây chính là nỗ lực của Chính phủ nhằm góp phần xây dựng hành lang pháp lý phục vụ chương trình chuyển đổi số quốc gia, hướng đến nhóm mục tiêu an toàn thông tin và phát triển xã hội số toàn diện. NĐ13 bao gồm 4 Chương 44 Điều, ghi nhận một cách toàn diện các quyền lợi cơ bản của cá nhân là chủ thể dữ liệu và đặt ra các yêu cầu kỹ thuật và pháp lý cho các doanh nghiệp xử lý, kiểm soát dữ liệu của công dân Việt Nam. Ngoài ra, Nghị định cũng quy định về chức năng và thẩm quyền của cơ quan chuyên trách bảo vệ dữ liệu cá nhân ở Việt Nam.</w:t>
      </w:r>
    </w:p>
    <w:p w14:paraId="720C1414"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80689F">
        <w:rPr>
          <w:rFonts w:ascii="Times New Roman" w:eastAsia="Times New Roman" w:hAnsi="Times New Roman" w:cs="Times New Roman"/>
          <w:b/>
          <w:bCs/>
          <w:color w:val="000000" w:themeColor="text1"/>
          <w:kern w:val="0"/>
          <w:sz w:val="28"/>
          <w:szCs w:val="28"/>
          <w:lang w:val="vi-VN"/>
          <w14:ligatures w14:val="none"/>
        </w:rPr>
        <w:t xml:space="preserve">3.1. </w:t>
      </w:r>
      <w:r w:rsidRPr="000B0F3D">
        <w:rPr>
          <w:rFonts w:ascii="Times New Roman" w:eastAsia="Times New Roman" w:hAnsi="Times New Roman" w:cs="Times New Roman"/>
          <w:b/>
          <w:bCs/>
          <w:color w:val="000000" w:themeColor="text1"/>
          <w:kern w:val="0"/>
          <w:sz w:val="28"/>
          <w:szCs w:val="28"/>
          <w:lang w:val="vi-VN"/>
          <w14:ligatures w14:val="none"/>
        </w:rPr>
        <w:t>Một số nội dung nổi bật trong NĐ13 liên quan đến doanh nghiệp khi thu nhận, sử dụng, xử lý… dữ liệu cá nhân:</w:t>
      </w:r>
    </w:p>
    <w:p w14:paraId="546B33BC"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 Dữ liệu cá nhân cơ bản và dữ liệu cá nhân nhạy cảm:</w:t>
      </w:r>
      <w:r w:rsidRPr="000B0F3D">
        <w:rPr>
          <w:rFonts w:ascii="Times New Roman" w:eastAsia="Times New Roman" w:hAnsi="Times New Roman" w:cs="Times New Roman"/>
          <w:color w:val="000000" w:themeColor="text1"/>
          <w:kern w:val="0"/>
          <w:sz w:val="28"/>
          <w:szCs w:val="28"/>
          <w:lang w:val="vi-VN"/>
          <w14:ligatures w14:val="none"/>
        </w:rPr>
        <w:t> Theo Điều 2 NĐ13 thì các thông tin bắt buộc của hợp đồng lao động theo quy định của Bộ luật Lao động 2019 (Điều 21) thuộc dữ liệu cá nhân cơ bản của NLĐ. Ngoài ra, trong quá trình sử dụng, quản lý NLĐ, có thể có xảy ra trường hợp Doanh nghiệp yêu cầu NLĐ cung cấp thêm một số thông tin như: quan điểm chính trị, quan điểm tôn giáo; tình trạng sức khỏe và đời tư được ghi trong hồ sơ bệnh án (không bao gồm thông tin về nhóm máu; thông tin liên quan đến nhân trắc học, vật lý, sinh học, đời sống tình dục, xu hướng tình dục, nguồn gốc chủng tộc, nguồn gốc dân tộc của cá nhân…) và đây chính là những dữ liệu cá nhân nhạy cảm được quy định tại khoản 4 Điều 2 NĐ13. Do đó, doanh nghiệp cần phải có trách nhiệm bảo vệ các thông tin đó trong quá trình quản lý, sử dụng lao động của mình nếu không muốn bị xử lý trước pháp luật.</w:t>
      </w:r>
    </w:p>
    <w:p w14:paraId="2FAC966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 Xử lý dữ liệu cá nhân</w:t>
      </w:r>
      <w:r w:rsidRPr="000B0F3D">
        <w:rPr>
          <w:rFonts w:ascii="Times New Roman" w:eastAsia="Times New Roman" w:hAnsi="Times New Roman" w:cs="Times New Roman"/>
          <w:color w:val="000000" w:themeColor="text1"/>
          <w:kern w:val="0"/>
          <w:sz w:val="28"/>
          <w:szCs w:val="28"/>
          <w:lang w:val="vi-VN"/>
          <w14:ligatures w14:val="none"/>
        </w:rPr>
        <w:t xml:space="preserve">: bao gồm việc thu thập, ghi, phân tích, xác nhận, lưu trữ, chỉnh sửa, công khai, kết hợp, truy cập, truy xuất, thu hồi, mã hóa, giải mã, sao chép, chia sẻ, truyền đưa, cung cấp, chuyển giao, xóa, hủy dữ liệu cá nhân </w:t>
      </w:r>
      <w:r w:rsidRPr="000B0F3D">
        <w:rPr>
          <w:rFonts w:ascii="Times New Roman" w:eastAsia="Times New Roman" w:hAnsi="Times New Roman" w:cs="Times New Roman"/>
          <w:color w:val="000000" w:themeColor="text1"/>
          <w:kern w:val="0"/>
          <w:sz w:val="28"/>
          <w:szCs w:val="28"/>
          <w:lang w:val="vi-VN"/>
          <w14:ligatures w14:val="none"/>
        </w:rPr>
        <w:lastRenderedPageBreak/>
        <w:t>hoặc các hành động khác có liên quan. Tất cả các hoạt động trong quy trình xử lý dữ liệu cá nhân đều phải được sự đồng ý của NLĐ là chủ thể dữ liệu, trừ trường hợp luật có quy định khác. Cần lưu ý sự đồng ý này chỉ có hiệu lực khi chủ thể dữ liệu tự nguyện và biết rõ các nội dung sau đây:</w:t>
      </w:r>
    </w:p>
    <w:p w14:paraId="0B13B95B"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Loại dữ liệu cá nhân được xử lý;</w:t>
      </w:r>
    </w:p>
    <w:p w14:paraId="0EBA7EC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Mục đích xử lý dữ liệu cá nhân;</w:t>
      </w:r>
    </w:p>
    <w:p w14:paraId="239F2E6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Tổ chức, cá nhân xử lý dữ liệu;</w:t>
      </w:r>
    </w:p>
    <w:p w14:paraId="2CC4EF07"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Các quyền, nghĩa vụ của chủ thể dữ liệu.</w:t>
      </w:r>
    </w:p>
    <w:p w14:paraId="1A12BACF"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Cũng cần lưu ý rằng sự đồng ý phải thể hiện ở một định dạng có thể được in, sao chép bằng văn bản, bao gồm cả dưới dạng điện tử hoặc định dạng kiểm chứng được, để đảm bảo tính rõ ràng, tự nguyện, khẳng định việc cho phép của NLĐ (Điều 11). Phía doanh nghiệp cần phải đảm bảo quyền đồng ý của NLĐ. Về phía mình, NLĐ có quyền đồng ý hoặc không đồng ý cho phép xử lý dữ liệu cá nhân của mình, trừ các trường hợp (Điều 17):</w:t>
      </w:r>
    </w:p>
    <w:p w14:paraId="5B9553D1"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Tình huống khẩn cấp cần xử lý ngay dữ liệu cá nhân có liên quan để bảo vệ tính mạng, sức khỏe của chủ thể dữ liệu hoặc người khác;</w:t>
      </w:r>
    </w:p>
    <w:p w14:paraId="0ABD50BF"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Việc công khai dữ liệu cá nhân theo quy định của luật;</w:t>
      </w:r>
    </w:p>
    <w:p w14:paraId="1BCF5E5F"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Việc xử lý dữ liệu của cơ quan nhà nước có thẩm quyền trong tình trạng khẩn cấp;</w:t>
      </w:r>
    </w:p>
    <w:p w14:paraId="7D6411B7"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Để thực hiện nghĩa vụ theo hợp đồng của chủ thể dữ liệu với doanh nghiệp theo quy định của luật;</w:t>
      </w:r>
    </w:p>
    <w:p w14:paraId="030883F5"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Phục vụ hoạt động của cơ quan nhà nước đã được quy định theo luật chuyên ngành.</w:t>
      </w:r>
    </w:p>
    <w:p w14:paraId="78BB05D3"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 Thông báo xử lý dữ liệu cá nhân: </w:t>
      </w:r>
      <w:r w:rsidRPr="000B0F3D">
        <w:rPr>
          <w:rFonts w:ascii="Times New Roman" w:eastAsia="Times New Roman" w:hAnsi="Times New Roman" w:cs="Times New Roman"/>
          <w:color w:val="000000" w:themeColor="text1"/>
          <w:kern w:val="0"/>
          <w:sz w:val="28"/>
          <w:szCs w:val="28"/>
          <w:lang w:val="vi-VN"/>
          <w14:ligatures w14:val="none"/>
        </w:rPr>
        <w:t>Theo quy định tại Điều 13, trước khi tiến hành, việc xử lý dữ liệu cá nhân phải được thông báo đến chủ thể dữ liệu. Nội dung thông báo phải bao gồm: mục đích xử lý; loại dữ liệu cá nhân được sử dụng (có liên quan tới mục đích xử lý); cách thức xử lý; thông tin về các tổ chức, cá nhân khác có liên quan tới mục đích xử lý; hậu quả, thiệt hại không mong muốn có khả năng xảy ra; thời gian bắt đầu, thời gian kết thúc xử lý dữ liệu. Cũng tương tự sự đồng ý cho phép của NLĐ, thông báo về việc xử lý dữ liệu phải thể hiện ở một định dạng có thể được in, sao chép bằng văn bản, bao gồm cả dưới dạng điện tử hoặc định dạng kiểm chứng được.</w:t>
      </w:r>
    </w:p>
    <w:p w14:paraId="39DB55DC"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lastRenderedPageBreak/>
        <w:t>- Đánh giá tác động xử lý dữ liệu cá nhân và đánh giá tác động chuyển dữ liệu ra nước ngoài:</w:t>
      </w:r>
      <w:r w:rsidRPr="000B0F3D">
        <w:rPr>
          <w:rFonts w:ascii="Times New Roman" w:eastAsia="Times New Roman" w:hAnsi="Times New Roman" w:cs="Times New Roman"/>
          <w:color w:val="000000" w:themeColor="text1"/>
          <w:kern w:val="0"/>
          <w:sz w:val="28"/>
          <w:szCs w:val="28"/>
          <w:lang w:val="vi-VN"/>
          <w14:ligatures w14:val="none"/>
        </w:rPr>
        <w:t> Theo Điều 24, kể từ thời điểm bắt đầu xử lý dữ liệu, doanh nghiệp và các bên có liên quan có nghĩa vụ lập và lưu giữ hồ sơ đánh giá tác động xử lý dữ liệu cá nhân và phải đảm bảo luôn có sẵn để phục vụ hoạt động kiểm tra của Bộ Công an. Trong trường hợp chuyển dữ liệu cá nhân của công dân Việt Nam ra nước ngoài (ví dụ khi chuyển thông tin của nhân sự Việt Nam đến công ty mẹ ở nước ngoài), doanh nghiệp phải lập hồ sơ đánh giá tác động chuyển dữ liệu cá nhân ra nước ngoài và cũng phải đảm bảo luôn có sẵn để phục vụ hoạt động kiểm tra của Bộ Công an. Điều này đặc biệt quan trọng đối với các doanh nghiệp có vốn đầu tư nước ngoài nói chung và doanh nghiệp có vốn đầu tư nước ngoài hoạt động theo mô hình Tập đoàn (Công ty mẹ-con).</w:t>
      </w:r>
    </w:p>
    <w:p w14:paraId="2E799A3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Ngoài ra, doanh nghiệp còn phải gửi một bản chính hồ sơ tới Bộ Công an (Cục An ninh mạng và phòng chống tội phạm sử dụng công nghệ cao) theo mẫu số 06 tại Phụ lục của NĐ13 trong thời gian 60 ngày kể từ ngày tiến hành xử lý dữ liệu cá nhân (Điều 25). Chế tài xử lý vi phạm đối với quy định bảo vệ dữ liệu cá nhân. Theo điều 4, mọi vi phạm của doanh nghiệp đối với quy định bảo vệ dữ liệu cá nhân của NLĐ, tùy theo mức độ, có thể bị xử phạt vi phạm hành chính hoặc nghiêm trọng hơn là xử l hình sự theo quy định. Nghị định cũng có quy định việc mua, bán dữ liệu cá nhân bị nghiêm cấm dưới mọi hình thức.</w:t>
      </w:r>
    </w:p>
    <w:p w14:paraId="0A1CDEEF"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80689F">
        <w:rPr>
          <w:rFonts w:ascii="Times New Roman" w:eastAsia="Times New Roman" w:hAnsi="Times New Roman" w:cs="Times New Roman"/>
          <w:b/>
          <w:bCs/>
          <w:color w:val="000000" w:themeColor="text1"/>
          <w:kern w:val="0"/>
          <w:sz w:val="28"/>
          <w:szCs w:val="28"/>
          <w:lang w:val="vi-VN"/>
          <w14:ligatures w14:val="none"/>
        </w:rPr>
        <w:t>3.</w:t>
      </w:r>
      <w:r w:rsidRPr="000B0F3D">
        <w:rPr>
          <w:rFonts w:ascii="Times New Roman" w:eastAsia="Times New Roman" w:hAnsi="Times New Roman" w:cs="Times New Roman"/>
          <w:b/>
          <w:bCs/>
          <w:color w:val="000000" w:themeColor="text1"/>
          <w:kern w:val="0"/>
          <w:sz w:val="28"/>
          <w:szCs w:val="28"/>
          <w:lang w:val="vi-VN"/>
          <w14:ligatures w14:val="none"/>
        </w:rPr>
        <w:t>2. Trách nhiệm của doanh nghiệp theo Nghị định số 13/2023/NĐ-CP</w:t>
      </w:r>
    </w:p>
    <w:p w14:paraId="10A132D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Theo quy định tại các Điều 38, 39, 40 và 41 NĐ13, để tránh bị xử phạt và xử lý hình sự (nếu vi phạm) các quy định về kiểm soát xử lý dữ liệu cá nhân của người lao động, các doanh nghiệp cần thiết rà soát, bổ sung, củng cố các tài liệu nội bộ nhằm nâng cao trách nhiệm của mình đối với vấn đề bảo vệ dữ liệu cá nhân của NLĐ, mặt khác làm căn cứ chứng minh việc tuân thủ các quy định chặt chẽ của Nghị định mới, cũng như xử lý các vấn đề phát sinh (nếu có). Một số hoạt động doanh nghiệp cần thực hiện sau khi NĐ13 có hiệu lực như:</w:t>
      </w:r>
    </w:p>
    <w:p w14:paraId="13284EE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a) Xây dựng hoặc cập nhật thêm vào Nội quy lao động về quy định cấm mua, bán và chia sẻ thông tin dữ liệu cá nhân để làm căn cứ xử lý kỷ luật lao động và bồi thường thiệt hại (nếu có) trong trường hợp có sai phạm.</w:t>
      </w:r>
    </w:p>
    <w:p w14:paraId="0C67C3DF"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b) Bổ sung các điều khoản trong hợp đồng thử việc, và/hoặc hợp đồng lao động hoặc phụ lục hợp đồng lao động, liệt kê rõ phạm vi dữ liệu cá nhân được bảo vệ; mục đích, phạm vi xử lý dữ liệu cá nhân và nghĩa vụ của doanh nghiệp trong việc bảo mật dữ liệu cá nhân, như một văn bản thể hiện sự đồng ý của NLĐ.</w:t>
      </w:r>
    </w:p>
    <w:p w14:paraId="03D1EE39"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c) Bổ sung thêm vào Hợp đồng trách nhiệm (nếu có) quy định về không tiết lộ hoặc các cam kết khác thể hiện rõ quyền và nghĩa vụ của các bên trong việc xử lý dữ liệu cá nhân.</w:t>
      </w:r>
    </w:p>
    <w:p w14:paraId="27ACBAA1" w14:textId="77777777" w:rsidR="003B5CA5" w:rsidRPr="000B0F3D" w:rsidRDefault="003B5CA5" w:rsidP="00E71244">
      <w:pPr>
        <w:ind w:firstLine="709"/>
        <w:jc w:val="both"/>
        <w:rPr>
          <w:rFonts w:ascii="Times New Roman" w:hAnsi="Times New Roman" w:cs="Times New Roman"/>
          <w:color w:val="000000" w:themeColor="text1"/>
          <w:sz w:val="28"/>
          <w:szCs w:val="28"/>
          <w:lang w:val="vi-VN"/>
        </w:rPr>
      </w:pPr>
    </w:p>
    <w:p w14:paraId="1F1FC5C9" w14:textId="77777777" w:rsidR="00DA096E" w:rsidRDefault="00DA096E">
      <w:pPr>
        <w:rPr>
          <w:rFonts w:ascii="Times New Roman" w:eastAsia="Times New Roman" w:hAnsi="Times New Roman" w:cs="Times New Roman"/>
          <w:b/>
          <w:bCs/>
          <w:color w:val="000000" w:themeColor="text1"/>
          <w:kern w:val="36"/>
          <w:sz w:val="28"/>
          <w:szCs w:val="28"/>
          <w:lang w:val="vi-VN"/>
          <w14:ligatures w14:val="none"/>
        </w:rPr>
      </w:pPr>
      <w:r>
        <w:rPr>
          <w:rFonts w:ascii="Times New Roman" w:eastAsia="Times New Roman" w:hAnsi="Times New Roman" w:cs="Times New Roman"/>
          <w:b/>
          <w:bCs/>
          <w:color w:val="000000" w:themeColor="text1"/>
          <w:kern w:val="36"/>
          <w:sz w:val="28"/>
          <w:szCs w:val="28"/>
          <w:lang w:val="vi-VN"/>
          <w14:ligatures w14:val="none"/>
        </w:rPr>
        <w:br w:type="page"/>
      </w:r>
    </w:p>
    <w:p w14:paraId="7C89E882" w14:textId="14BFDA20" w:rsidR="003B5CA5" w:rsidRPr="000B0F3D" w:rsidRDefault="0080689F" w:rsidP="0080689F">
      <w:pPr>
        <w:ind w:firstLine="709"/>
        <w:jc w:val="center"/>
        <w:rPr>
          <w:rFonts w:ascii="Times New Roman" w:eastAsia="Times New Roman" w:hAnsi="Times New Roman" w:cs="Times New Roman"/>
          <w:b/>
          <w:bCs/>
          <w:color w:val="000000" w:themeColor="text1"/>
          <w:kern w:val="36"/>
          <w:sz w:val="28"/>
          <w:szCs w:val="28"/>
          <w:lang w:val="vi-VN"/>
          <w14:ligatures w14:val="none"/>
        </w:rPr>
      </w:pPr>
      <w:r w:rsidRPr="000B0F3D">
        <w:rPr>
          <w:rFonts w:ascii="Times New Roman" w:eastAsia="Times New Roman" w:hAnsi="Times New Roman" w:cs="Times New Roman"/>
          <w:b/>
          <w:bCs/>
          <w:color w:val="000000" w:themeColor="text1"/>
          <w:kern w:val="36"/>
          <w:sz w:val="28"/>
          <w:szCs w:val="28"/>
          <w:lang w:val="vi-VN"/>
          <w14:ligatures w14:val="none"/>
        </w:rPr>
        <w:lastRenderedPageBreak/>
        <w:t xml:space="preserve">KINH NGHIỆM QUỐC TẾ VỀ ÁP DỤNG PHƯƠNG THỨC </w:t>
      </w:r>
      <w:r w:rsidRPr="000B0F3D">
        <w:rPr>
          <w:rFonts w:ascii="Times New Roman" w:eastAsia="Times New Roman" w:hAnsi="Times New Roman" w:cs="Times New Roman"/>
          <w:b/>
          <w:bCs/>
          <w:color w:val="000000" w:themeColor="text1"/>
          <w:kern w:val="36"/>
          <w:sz w:val="28"/>
          <w:szCs w:val="28"/>
          <w:lang w:val="vi-VN"/>
          <w14:ligatures w14:val="none"/>
        </w:rPr>
        <w:br/>
        <w:t>GIẢI QUYẾT TRANH CHẤP TRỰC TUYẾN TRONG LĨNH VỰC THƯƠNG MẠI ĐIỆN TỬ VÀ BÀI HỌC CHO VIỆT NAM</w:t>
      </w:r>
    </w:p>
    <w:p w14:paraId="51A9B5A4" w14:textId="77777777" w:rsidR="003B5CA5" w:rsidRPr="000B0F3D" w:rsidRDefault="003B5CA5" w:rsidP="0080689F">
      <w:pPr>
        <w:ind w:firstLine="709"/>
        <w:jc w:val="right"/>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ThS. Trần Hạnh Linh (Khoa Luật, Trường Đại học Thương mại)</w:t>
      </w:r>
    </w:p>
    <w:p w14:paraId="76AA3C8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TÓM TẮT:</w:t>
      </w:r>
    </w:p>
    <w:p w14:paraId="7BDFF83A"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Trong lĩnh vực thương mại điện tử, bên cạnh các phương thức giải quyết tranh chấp truyền thống thì giải quyết tranh chấp trực tuyến là một phương thức mới mẻ, mang nhiều ưu điểm vượt trội. Ở Việt Nam hiện nay, với tốc độ phát triển thương mại điện tử mạnh mẽ, đây lại càng là một giải pháp tối ưu cần được tăng cường khai thác và áp dụng. Tuy vậy, vấn đề giải quyết trực tuyến các tranh chấp</w:t>
      </w:r>
      <w:r w:rsidRPr="000B0F3D">
        <w:rPr>
          <w:rFonts w:ascii="Times New Roman" w:eastAsia="Times New Roman" w:hAnsi="Times New Roman" w:cs="Times New Roman"/>
          <w:b/>
          <w:bCs/>
          <w:color w:val="000000" w:themeColor="text1"/>
          <w:kern w:val="0"/>
          <w:sz w:val="28"/>
          <w:szCs w:val="28"/>
          <w:lang w:val="vi-VN"/>
          <w14:ligatures w14:val="none"/>
        </w:rPr>
        <w:t> thương mại điện tử</w:t>
      </w:r>
      <w:r w:rsidRPr="000B0F3D">
        <w:rPr>
          <w:rFonts w:ascii="Times New Roman" w:eastAsia="Times New Roman" w:hAnsi="Times New Roman" w:cs="Times New Roman"/>
          <w:color w:val="000000" w:themeColor="text1"/>
          <w:kern w:val="0"/>
          <w:sz w:val="28"/>
          <w:szCs w:val="28"/>
          <w:lang w:val="vi-VN"/>
          <w14:ligatures w14:val="none"/>
        </w:rPr>
        <w:t> ở Việt Nam, một phần thiếu đi sự quan tâm thích đáng, một phần còn vấp phải những khó khăn, thách thức đến từ cơ sở hạ tầng cũng như hệ thống pháp luật hiện hành điều chỉnh lĩnh vực này. Chính vì vậy, việc “đi tắt đón đầu”, nghiên cứu những kinh nghiệm có liên quan của các quốc gia trên thế giới là điều cần thiết, vừa để tiếp thu, học hỏi những phương hướng, giải pháp đã có, vừa để sửa đổi, hoàn thiện, khắc phục những vướng mắc hiện tại nhằm giúp cho giải quyết tranh chấp trực tuyến trong thương mại điện tử được thực thi có hiệu quả ở Việt Nam. Bài viết khái quát một số vấn đề lý luận về giải quyết tranh chấp thương mại điện tử trực tuyến, giới thiệu và phân tích các kinh nghiệm áp dụng của một số quốc gia trên thế giới, từ đó đề xuất giải pháp nhằm thúc đẩy giải quyết tranh chấp thương mại điện tử bằng các phương thức trực tuyến ở Việt Nam trong giai đoạn hiện nay.</w:t>
      </w:r>
    </w:p>
    <w:p w14:paraId="4E0561A0" w14:textId="77777777" w:rsidR="003B5CA5" w:rsidRPr="000B0F3D" w:rsidRDefault="003B5CA5"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1. Đặt vấn đề</w:t>
      </w:r>
    </w:p>
    <w:p w14:paraId="3F7F1E14"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Những năm gần đây, Việt Nam chứng kiến sự phát triển vượt trội của thương mại điện tử, với quy mô tăng 16% trên 14 tỷ USD vào năm 2020 và ước tính quy mô sẽ lên đến 52 tỷ USD vào năm 2025. Tuy vậy, sự phát triển của thương mại điện tử cũng có hai mặt của nó. Cùng với vai trò to lớn trong việc vực dậy nền kinh tế Việt Nam sau đại dịch Covid-19, thương mại điện tử bùng nổ, các giao dịch trực tuyến gia tăng trong thời gian vừa qua cũng mang lại không ít thách thức, đó là các vấn đề vi phạm quyền sở hữu trí tuệ, buôn lậu, hàng giả hàng nhái, hiện tượng mạo danh các nhãn hàng. Xung đột quyền lợi giữa các bên leo thang, tỷ lệ thuận với các tranh chấp trong lĩnh vực này. Điều này xuất phát từ một thực tế rằng môi trường kinh doanh qua mạng còn nhiều kẽ hở và là mảnh đất màu mỡ cho các hành vi vi phạm pháp luật, gây thiệt hại cho người tiêu dùng.</w:t>
      </w:r>
    </w:p>
    <w:p w14:paraId="0AB1AEC6"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Trên thế giới, bên cạnh các phương thức giải quyết tranh chấp truyền thống, giải quyết tranh chấp trực tuyến đã được đề xuất và dần trở nên phổ biến từ những năm 1990. Ở châu Âu và Hoa Kỳ, phương thức ODR (giải quyết tranh chấp trực tuyến) từ lâu đã được áp dụng rộng rãi trên các nền tảng thương mại điện tử. Trung Quốc tiên phong với tòa án trực tuyến trong các lĩnh vực của đời sống nói chung và thương mại điện tử nói riêng, trong khi đó, hội nghị từ xa là một phương thức nổi bật ở Singapore.</w:t>
      </w:r>
    </w:p>
    <w:p w14:paraId="5D8A9CAC"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Ở Việt Nam, bên cạnh việc tiếp nhận và xử lý tranh chấp tại Bộ Công Thương, nhiều website thương mại điện tử lớn như Shopee, Lazada, Sendo,… đã tự xây dựng và thực hiện quy trình và cơ chế giải quyết tranh chấp riêng. Tuy vậy, Việt Nam vẫn chưa có một văn bản pháp luật nào đề cập một cách rõ ràng và cụ thể về vấn đề giải quyết tranh chấp thương mại điện tử bằng phương thức trực tuyến, đồng thời, vẫn còn tồn tại khá nhiều bất cập trong các quy định có liên quan trong một số văn bản quy phạm pháp luật hiện hành như Bộ luật Tố tụng dân sự, Luật Giao dịch điện tử, Luật Trọng tài thương mại… Việc thúc đẩy các phương thức giải quyết tranh chấp thương mại điện tử trực tuyến ở Việt Nam thông qua những điều chỉnh pháp lý là điều cần thiết, góp phần gia tăng hiệu quả quản lý của cơ quan nhà nước trong lĩnh vực thương mại điện tử, đồng thời giảm tải cho hệ thống tư pháp. (Nguyễn Thành Minh Chánh, 2021). Muốn đạt được hiệu quả như vậy, một trong những giải pháp thiết thực là nghiên cứu kinh nghiệm quốc tế, từ đó đề xuất những bài học, giải pháp riêng cho hoàn cảnh cụ thể của Việt Nam.</w:t>
      </w:r>
    </w:p>
    <w:p w14:paraId="29A95BE9" w14:textId="77777777" w:rsidR="003B5CA5" w:rsidRPr="000B0F3D" w:rsidRDefault="003B5CA5"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2. Giải quyết tranh chấp thương mại điện tử trực tuyến - Giải pháp tối ưu trong và sau đại dịch Covid-19</w:t>
      </w:r>
    </w:p>
    <w:p w14:paraId="6137C2EC" w14:textId="77777777" w:rsidR="003B5CA5" w:rsidRPr="000B0F3D" w:rsidRDefault="003B5CA5"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2.1. Khái niệm</w:t>
      </w:r>
    </w:p>
    <w:p w14:paraId="333DCA4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Giải quyết tranh chấp trực tuyến (là phương thức thường được sử dụng để xử lý những khiếu nại, xung đột về quyền và lợi ích phát sinh từ giao dịch thương mại điện tử trực tuyến hoặc ngoại tuyến, theo đó thay vì áp dụng quy trình pháp lý truyền thống, các bên có thể sử dụng công nghệ Internet và trang mạng theo nhiều cách khác nhau, như thông qua thư điện tử, hội nghị truyền hình… Do vậy, phương thức này có thể thực hiện hoàn toàn trên Internet.</w:t>
      </w:r>
    </w:p>
    <w:p w14:paraId="6486BB65"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So với việc giải quyết tranh chấp thông thường, giải quyết tranh chấp trực tuyến bao gồm những đặc điểm sau:</w:t>
      </w:r>
    </w:p>
    <w:p w14:paraId="1FD00037"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nhất</w:t>
      </w:r>
      <w:r w:rsidRPr="000B0F3D">
        <w:rPr>
          <w:rFonts w:ascii="Times New Roman" w:eastAsia="Times New Roman" w:hAnsi="Times New Roman" w:cs="Times New Roman"/>
          <w:color w:val="000000" w:themeColor="text1"/>
          <w:kern w:val="0"/>
          <w:sz w:val="28"/>
          <w:szCs w:val="28"/>
          <w:lang w:val="vi-VN"/>
          <w14:ligatures w14:val="none"/>
        </w:rPr>
        <w:t xml:space="preserve">, dù việc giải quyết tranh chấp trực tuyến có thể được áp dụng đối với cả phương thức Tòa án, nhưng ODR vẫn được hiểu một cách rộng rãi là sự </w:t>
      </w:r>
      <w:r w:rsidRPr="000B0F3D">
        <w:rPr>
          <w:rFonts w:ascii="Times New Roman" w:eastAsia="Times New Roman" w:hAnsi="Times New Roman" w:cs="Times New Roman"/>
          <w:color w:val="000000" w:themeColor="text1"/>
          <w:kern w:val="0"/>
          <w:sz w:val="28"/>
          <w:szCs w:val="28"/>
          <w:lang w:val="vi-VN"/>
          <w14:ligatures w14:val="none"/>
        </w:rPr>
        <w:lastRenderedPageBreak/>
        <w:t>kết hợp giữa ADR (phương thức giải quyết tranh chấp thay thế, ngoài Tòa án) và công nghệ Internet. Điều này mang lại cho ODR sự linh hoạt, mềm dẻo, trong đó các yếu tố làm nên nó tương hỗ, bổ trợ lẫn nhau: việc sử dụng ADR do đó có thể không cần đến sự có mặt trực tiếp của các bên tham gia giải quyết tranh chấp, đồng thời, ODR cũng thích hợp với các phương thức thay thế hơn cả khi so sánh với phương thức truyền thống phức tạp và có phần cứng nhắc.</w:t>
      </w:r>
    </w:p>
    <w:p w14:paraId="09A4EE63"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hai</w:t>
      </w:r>
      <w:r w:rsidRPr="000B0F3D">
        <w:rPr>
          <w:rFonts w:ascii="Times New Roman" w:eastAsia="Times New Roman" w:hAnsi="Times New Roman" w:cs="Times New Roman"/>
          <w:color w:val="000000" w:themeColor="text1"/>
          <w:kern w:val="0"/>
          <w:sz w:val="28"/>
          <w:szCs w:val="28"/>
          <w:lang w:val="vi-VN"/>
          <w14:ligatures w14:val="none"/>
        </w:rPr>
        <w:t>, ODR là giải pháp không bị giới hạn trong khuôn khổ một quốc gia. Tính tiện ích của công nghệ và tính linh hoạt, tự nguyện đặc trưng của các ADR khiến cho việc giải quyết tranh chấp thương mại điện tử giữa các chủ thể có thể tiến hành vượt qua biên giới quốc gia. Cũng vì lẽ đó, để thúc đẩy ODR, các quốc gia càng phải đẩy mạnh quá trình hội nhập, đặc biệt là tăng cường gia nhập các điều ước, cam kết quốc tế cũng như nội luật hóa các quy định của luật pháp quốc tế về thương mại điện tử cũng như giải quyết tranh chấp thương mại điện tử.</w:t>
      </w:r>
    </w:p>
    <w:p w14:paraId="175A0C7B"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ba</w:t>
      </w:r>
      <w:r w:rsidRPr="000B0F3D">
        <w:rPr>
          <w:rFonts w:ascii="Times New Roman" w:eastAsia="Times New Roman" w:hAnsi="Times New Roman" w:cs="Times New Roman"/>
          <w:color w:val="000000" w:themeColor="text1"/>
          <w:kern w:val="0"/>
          <w:sz w:val="28"/>
          <w:szCs w:val="28"/>
          <w:lang w:val="vi-VN"/>
          <w14:ligatures w14:val="none"/>
        </w:rPr>
        <w:t>, việc tiến hành ODR bắt buộc phải có sự hiện diện của công nghệ điện tử. Công cụ này có thể được hiểu như mạng Internet hoặc các thiết bị kết nối thông tin, lưu giữ và truyền tải dữ liệu và kết nối với Internet hoặc các mạng nội bộ. Cổng thông tin trực tuyến quốc gia kết nối với website của nhà cung cấp dịch vụ thương mại điện tử là một hình thức phổ biến nhất để tiếp nhận và xử lý các yêu cầu giải quyết tranh chấp khiếu nại giữa khách hàng và nhà cung cấp.</w:t>
      </w:r>
    </w:p>
    <w:p w14:paraId="749D8D3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tư</w:t>
      </w:r>
      <w:r w:rsidRPr="000B0F3D">
        <w:rPr>
          <w:rFonts w:ascii="Times New Roman" w:eastAsia="Times New Roman" w:hAnsi="Times New Roman" w:cs="Times New Roman"/>
          <w:color w:val="000000" w:themeColor="text1"/>
          <w:kern w:val="0"/>
          <w:sz w:val="28"/>
          <w:szCs w:val="28"/>
          <w:lang w:val="vi-VN"/>
          <w14:ligatures w14:val="none"/>
        </w:rPr>
        <w:t>, các tổ chức cung cấp ODR tồn tại dưới nhiều hình thức đa dạng. Theo đó, họ có thể là các tổ chức ODR chuyên nghiệp cung cấp các dịch vụ hòa giải, trung gian, trọng tài; có thể là các website cung cấp dịch vụ mua bán trực tuyến; hoặc là các thương nhân tự lập website và đính kèm điều khoản về giải quyết tranh chấp do họ tự thiết lập.</w:t>
      </w:r>
    </w:p>
    <w:p w14:paraId="5B3F8292"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xml:space="preserve">Từ các đặc điểm trên cho thấy, so với những phương thức giải quyết tranh chấp truyền thống, ODR tồn tại những ưu điểm và hạn chế nhất định. Về ưu điểm, có thể thấy, đây là một phương thức giải quyết tranh chấp nhanh chóng, linh hoạt và hiệu quả. Đặc biệt, do thực hiện một phần hoặc toàn bộ thông qua mạng Internet, với sự trợ giúp của công nghệ, ODR còn giảm thiểu tối đa những rào cản về địa lý, biên giới, giúp các bên tiết kiệm được chi phí, hạn chế được những thủ tục, trình tự phức tạp của một số phương thức truyền thống, đẩy nhanh tốc độ giải quyết tranh chấp. Bên cạnh đó, ODR giúp củng cố và xây dựng môi trường kinh doanh thương mại điện tử lành mạnh và phát triển, theo đó tại một số website thương mại điện tử, bên mua hoàn toàn có thể khiếu nại, tố cáo hành vi gian lận, lừa đảo của bên bán. Tranh chấp trên môi trường thương mại điện tử đa phần là </w:t>
      </w:r>
      <w:r w:rsidRPr="000B0F3D">
        <w:rPr>
          <w:rFonts w:ascii="Times New Roman" w:eastAsia="Times New Roman" w:hAnsi="Times New Roman" w:cs="Times New Roman"/>
          <w:color w:val="000000" w:themeColor="text1"/>
          <w:kern w:val="0"/>
          <w:sz w:val="28"/>
          <w:szCs w:val="28"/>
          <w:lang w:val="vi-VN"/>
          <w14:ligatures w14:val="none"/>
        </w:rPr>
        <w:lastRenderedPageBreak/>
        <w:t>các tranh chấp nhỏ lẻ, do đó, ODR còn là phương thức giúp bảo vệ quyền lợi của các bên tranh chấp (đặc biệt là người tiêu dùng) khi không phải lúc nào những phương thức truyền thống cũng được sử dụng. Do vậy, đây là giải pháp tối ưu được áp dụng trong hoàn cảnh đặc biệt như dịch bệnh Covid-19. Về hạn chế, ODR là một phương thức giải quyết tranh chấp còn mới, nên không tránh khỏi việc sự xa lạ và chưa phổ biến đối với các bên xảy ra tranh chấp. Các bên vẫn có xu hướng tin dùng các phương thức khác do nghi ngờ hiệu quả của ODR, đặc biệt trong những trường hợp một bên thiếu thiện chí, hoặc một số vấn đề vẫn chưa được quy định rõ ràng hay có cơ chế đảm bảo cụ thể, chẳng hạn như giá trị của chứng cứ điện tử. Bên cạnh đó, việc sử dụng công nghệ AI hay vấn đề bảo mật thông tin cá nhân trong quá trình giải quyết tranh vốn không phải vấn đề đơn giản, đòi hỏi các bên phải có mức độ am hiểu và thành thạo nhất định. Nếu thiếu hiểu biết, các bên có thể bị thao túng, bị ăn cắp thông tin cá nhân qua không gian mạng, những bí mật kinh doanh, hay các vấn đề có liên quan khác sẽ bị lộ ra ngoài.</w:t>
      </w:r>
    </w:p>
    <w:p w14:paraId="2E81042A" w14:textId="77777777" w:rsidR="003B5CA5" w:rsidRPr="000B0F3D" w:rsidRDefault="003B5CA5"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2.2. Thủ tục áp dụng giải quyết tranh chấp thương mại điện tử trực tuyến</w:t>
      </w:r>
    </w:p>
    <w:p w14:paraId="2689930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Có thể thấy, tùy theo chức năng và phạm vi hoạt động của từng tổ chức ODR, hệ thống ODR sẽ cho phép các bên thực hiện thủ tục giải quyết vụ việc tranh chấp của mình bằng 1, 2, hay cả 3 phương thức sau: (i) Thương lượng trực tuyến giữa các bên tranh chấp; (ii) Hòa giải vụ việc tranh chấp trực tuyến giữa các bên với sự tham gia của hòa giải viên thuộc tổ chức ODR; (iii) Xét xử vụ việc theo thủ tục trọng tài trực tuyến nếu tổ chức ODR có chức năng hoạt động trọng tài.</w:t>
      </w:r>
    </w:p>
    <w:p w14:paraId="06DA503C"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Trình tự, thủ tục giải quyết tranh chấp trực tuyến trên hệ thống ODR sẽ phụ thuộc chặt chẽ vào quy định pháp luật tại từng nước, nhưng nhìn chung thủ tục này có thể gồm các giai đoạn sau:</w:t>
      </w:r>
    </w:p>
    <w:p w14:paraId="0044B55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Giai đoạn thương lượng: Khi nguyên đơn nộp yêu cầu trên hệ thống ODR thì quản trị viên hệ thống ODR thông báo cho bị đơn về yêu cầu của nguyên đơn và phản hồi cho nguyên đơn. Bước đầu thương lượng có thể được hỗ trợ bởi công nghệ (có thể là AI), các bên có thể thương lượng trực tiếp trên nền tảng hệ thống ODR;</w:t>
      </w:r>
    </w:p>
    <w:p w14:paraId="66EE60AA"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Giai đoạn hỗ trợ giải quyết: Nếu thương lượng không thành công, quản trị viên hệ thống ODR sẽ chỉ định một hòa giải viên hỗ trợ các bên thương lượng nhằm đạt mục đích thỏa thuận;</w:t>
      </w:r>
    </w:p>
    <w:p w14:paraId="61FF363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Giai đoạn cuối cùng: Nếu giai đoạn 2 không thành công thì tiếp theo của tiến trình là quản trị viên hệ thống ODR hoặc hòa giải viên thông báo cho các bên về bước tiếp theo cần xử lý có thể giải quyết bằng trọng tài hoặc tòa án. (UNCITRAL, 2016).</w:t>
      </w:r>
    </w:p>
    <w:p w14:paraId="16CFF01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Ở Việt Nam, về cơ bản, các tranh chấp tại một số website thương mại điện tử cũng tuân thủ theo quy trình trên, với những biến đổi phù hợp với từng hoàn cảnh cụ thể.</w:t>
      </w:r>
    </w:p>
    <w:p w14:paraId="423B6658" w14:textId="77777777" w:rsidR="003B5CA5" w:rsidRPr="000B0F3D" w:rsidRDefault="003B5CA5"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3. Thực trạng giải quyết tranh chấp thương mại điện tử trực tuyến ở Việt Nam</w:t>
      </w:r>
    </w:p>
    <w:p w14:paraId="7BD227B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Tại Việt Nam, hình thức giải quyết tranh chấp trực tuyến cũng đã được triển khai bước đầu ở nhiều tổ chức, trong đó trước tiên phải kể đến Trung tâm Hòa giải Việt Nam (VMC) thuộc Trung tâm Trọng tài Quốc tế Việt Nam (VIAC), sau đó, như đã đề cập ở trên, chúng ta có cơ chế xử lý các tranh chấp tại Bộ Công Thương và tại các website thương mại điện tử. Tuy vậy, từ những vấn đề lý luận, cũng như kinh nghiệm thực tiễn trong việc sử dụng ODR cho thấyviệc áp dụng phương thức này ở Việt Nam còn gặp phải một số vấn đề chính sau:</w:t>
      </w:r>
    </w:p>
    <w:p w14:paraId="48499674"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Trước hết là vấn đề cơ sở hạ tầng kỹ thuật. Việc áp dụng ODR trong thương mại điện tử ở Việt Nam đã và sẽ gặp phải những thách thức về kỹ thuật. Một số nền tảng dịch vụ phục vụ ODR (ví dụ như dịch vụ chuyển tự động âm thanh thành chữ trực tuyến, dịch trực tuyến, dịch vụ lưu trữ tài liệu trực tuyến) vẫn còn đắt đỏ và hầu như độc quyền bởi một vài nhà cung cấp trên thế giới. Về an ninh, tiến bộ khoa học kỹ thuật cũng đồng nghĩa với việc mở ra những lỗ hổng lớn về an ninh mạng và có nguy cơ xâm phạm đến quyền riêng tư, bảo mật của các bên có liên quan và cả thông tin mật của chính phủ, trong khi đó, chi phí để che chắn những lỗ hổng an ninh này rất lớn.</w:t>
      </w:r>
    </w:p>
    <w:p w14:paraId="4A1DC25F"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Bên cạnh đó, một số khía cạnh pháp lý đặt ra từ việc giải quyết tranh chấp trực tuyến cần phải được xem xét ở cả góc độ Luật Tố tụng dân sự và tố tụng trọng tài, bao gồm: Hợp đồng thông minh; Chứng cứ điện tử; Chữ ký số; Giá trị pháp lý của phán quyết của trọng tài trực tuyến/hòa giải trực tuyến; Trách nhiệm của các bên liên quan trong triển khai thực hiện giải quyết tranh chấp trực tuyến;… Nhìn chung ở Việt Nam, chưa có một văn bản pháp luật hay một điều khoản riêng để điều chỉnh vấn đề giải quyết tranh chấp bằng phương thức ODR. Bộ luật Tố tụng Dân sự 2015 cũng không có quy định cụ thể về thẩm quyền, trình tự giải quyết tranh chấp thương mại điện tử, cách thức thu thập chứng cứ điện tử, văn bản điện tử, chữ ký điện tử.</w:t>
      </w:r>
    </w:p>
    <w:p w14:paraId="72B6955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Ngoài ra, Việt Nam vẫn còn thiếu nguồn nhân lực có đủ kiến thức và kinh nghiệm về thương mại điện tử cũng như các kỹ năng áp dụng công nghệ thông tin. Mặc dù Cục Thương mại điện tử và Kinh tế số đã thiết lập hệ thống quản lý, xử lý các tranh chấp, khiếu nại online có kết nối và chia sẻ dữ liệu với Cục Cạnh tranh và Bảo vệ người tiêu dùng, với Phòng Công Thương ở các tỉnh, thành phố, nhưng việc sử dụng cơ chế giải quyết tranh chấp này vẫn là một thách thức lớn đối với các doanh nghiệp nội địa, vì có đến 1/3 doanh nghiệp thiếu vắng đội ngũ có đủ tiêu chuẩn để áp dụng phương thức này. (Duong Quynh Hoa, 2021).</w:t>
      </w:r>
    </w:p>
    <w:p w14:paraId="618D35B3" w14:textId="77777777" w:rsidR="003B5CA5" w:rsidRPr="000B0F3D" w:rsidRDefault="003B5CA5"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4. Kinh nghiệm giải quyết tranh chấp thương mại điện tử trực tuyến của một số quốc gia trên thế giới - Giải pháp thúc đẩy phương thức giải quyết tranh chấp thương mại điện tử trực tuyến tại Việt Nam</w:t>
      </w:r>
    </w:p>
    <w:p w14:paraId="01520C4B" w14:textId="77777777" w:rsidR="003B5CA5" w:rsidRPr="000B0F3D" w:rsidRDefault="003B5CA5"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4.1. Kinh nghiệm giải quyết tranh chấp thương mại điện tử trực tuyến trên thế giới</w:t>
      </w:r>
    </w:p>
    <w:p w14:paraId="43AE3AD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Ở châu Âu, theo Quy định số 524/2013 của Nghị viện và Hội đồng châu Âu ngày 21/5/2013 về giải quyết tranh chấp trực tuyến của người tiêu dùng và sửa đổi Quy định (EC) số 2006/2004 và Chỉ thị 2009/22/EC (Quy định về ODR của người tiêu dùng) thì giải quyết tranh chấp trực tuyến (ODR) cung cấp một giải pháp giải quyết tranh chấp ngoài tòa án đơn giản, hiệu quả, nhanh chóng và chi phí thấp giúp người tiêu dùng và thương nhân “tự tin mua sắm và bán hàng qua biên giới” trong Liên minh châu Âu (EU). (Hoàng Thị Huệ, 2021). Theo quy định này, các thương nhân được thành lập trong EU khi tham gia bán hàng hoặc cung ứng dịch vụ trực tuyến nên đính kèm trên trang web của họ một liên kết điện tử đến nền tảng ODR. Các trang thương mại điện tử, các chợ trực tuyến cũng có nghĩa vụ cung cấp những liên kết này.</w:t>
      </w:r>
    </w:p>
    <w:p w14:paraId="0E1325CB"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Ở Hoa Kỳ, các trang thương mại điện tử và các trang web bán hàng như Ebay, Amazon... đều sử dụng nền tảng ODR trong giải quyết các tranh chấp phát sinh giữa bên mua và bên bán, nhằm bảo vệ người tiêu dùng trong các giao dịch trực tuyến, tránh hành vi lừa đảo và không công bằng trên thị trường. Pháp luật Hoa Kỳ cũng cho phép các bên thành lập các website hòa giải, trọng tài trực tuyến, chẳng hạn như OnlineResolution.com hay Mediate.com, với mức phí cho hòa giải trực tuyến ước tính 50$/1giờ đối với các tranh chấp có giá trị dưới 10.000$ và 100$/1giờ cho mỗi bên đối với các tranh chấp có giá trị trên 50.000$.</w:t>
      </w:r>
    </w:p>
    <w:p w14:paraId="0F9D8EBA"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xml:space="preserve">Ở Trung Quốc, ngoài những phương thức giải quyết tranh chấp thông thường như thương lượng, hòa giải, trọng tài, tòa án, Điều 63 Luật Thương mại điện tử của nước CHND Trung Hoa năm 2019 cũng quy định, bên vận hành nền </w:t>
      </w:r>
      <w:r w:rsidRPr="000B0F3D">
        <w:rPr>
          <w:rFonts w:ascii="Times New Roman" w:eastAsia="Times New Roman" w:hAnsi="Times New Roman" w:cs="Times New Roman"/>
          <w:color w:val="000000" w:themeColor="text1"/>
          <w:kern w:val="0"/>
          <w:sz w:val="28"/>
          <w:szCs w:val="28"/>
          <w:lang w:val="vi-VN"/>
          <w14:ligatures w14:val="none"/>
        </w:rPr>
        <w:lastRenderedPageBreak/>
        <w:t>tảng thương mại điện tử có thể thiết lập cơ chế giải quyết tranh chấp trực tuyến, xây dựng và công bố các quy tắc giải quyết tranh chấp, tiến hành giải quyết tranh chấp giữa các bên một cách công bằng và khách quan theo nguyên tắc tự nguyện. Theo Quy định tại Điều 1 Quy định của Tòa án nhân dân tối cao (TANDTC) Trung Quốc về một số vấn đề liên quan đến việc xét xử các vụ án của Tòa án Internet thì, Tòa có thẩm quyền xét xử sơ thẩm các vụ án dân sự và hành chính liên quan đến Internet, trong số đó có các tranh chấp phát sinh trong thương mại điện tử; tranh chấp về quyền sở hữu trí tuệ trên không gian mạng… Các Tòa án internet cơ bản tiến hành các thủ tục tố tụng bằng hình thức trực tuyến, bao gồm nộp đơn khởi kiện, thụ lý đơn, tống đạt, hòa giải, cung cấp bằng chứng, chuẩn bị xét xử, xét xử và công bố bản án. (Nguyễn Thị Hồng Anh, 2022).</w:t>
      </w:r>
    </w:p>
    <w:p w14:paraId="2A792EF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Ở Singapore, từ năm 2016, Tòa án Thương mại quốc tế Singapore (SICC) đã bắt đầu khuyến khích các thẩm phán quốc tế áp dụng mô hình hội nghị từ xa để giúp các bên xảy ra tranh chấp giải quyết các vấn đề mà không cần gặp mặt trực tiếp. Cho đến thời điểm xảy ra đại dịch Covid-19, Singapore lại càng mong muốn áp dụng các thành tựu công nghệ kỹ thuật hiện đại và trí tuệ nhân tạo để hiện đại hóa hệ thống tòa án của mình. (Võ Minh Kỳ, 2021).</w:t>
      </w:r>
    </w:p>
    <w:p w14:paraId="060B98D1" w14:textId="77777777" w:rsidR="003B5CA5" w:rsidRPr="000B0F3D" w:rsidRDefault="003B5CA5"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4.2. Đề xuất một số giải pháp cho Việt Nam</w:t>
      </w:r>
    </w:p>
    <w:p w14:paraId="05F250A9"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Cùng với sự phát triển của nền kinh tế số, việc thúc đẩy các phương thức ODR là điều cần thiết, vì nó cung cấp giải pháp hữu ích, nhanh chóng, minh bạch cho các bên tranh chấp. Tuy vậy, để phát triển phương thức này tại Việt Nam, Nhà nước và các doanh nghiệp cần quan tâm đến những vấn đề sau:</w:t>
      </w:r>
    </w:p>
    <w:p w14:paraId="3C0D28DB"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nhất</w:t>
      </w:r>
      <w:r w:rsidRPr="000B0F3D">
        <w:rPr>
          <w:rFonts w:ascii="Times New Roman" w:eastAsia="Times New Roman" w:hAnsi="Times New Roman" w:cs="Times New Roman"/>
          <w:color w:val="000000" w:themeColor="text1"/>
          <w:kern w:val="0"/>
          <w:sz w:val="28"/>
          <w:szCs w:val="28"/>
          <w:lang w:val="vi-VN"/>
          <w14:ligatures w14:val="none"/>
        </w:rPr>
        <w:t>, muốn phát triển phương thức ODR ở Việt Nam, điều kiện tiên quyết là cần phải có cơ sở hạ tầng tốt. Như đã đề cập ở trên, các quốc gia áp dụng ODR thành công đều có cổng thông tin quốc gia, có nền tảng cơ sở hạ tầng tốt tạo điều kiện cho các website, nền tảng thương mại điện tử cung cấp các dịch vụ hòa giải, trọng tài. Chính vì vậy, Nhà nước cần đầu tư vào công nghệ thông tin, thiết bị, kỹ thuật, nhằm phục vụ cho việc giải quyết tranh chấp bằng phương thức này, đồng thời có chính sách hỗ trợ chi phí cho các tổ chức ODR tại Việt Nam. Bên cạnh đó, chúng ta cũng cần hoàn thiện dữ liệu quốc gia về dân cư, mã số thuế, mã số điện thoại... nhằm dễ dàng xác thực danh tính và thông tin cá nhân, doanh nghiệp giữa các bên tranh chấp.</w:t>
      </w:r>
    </w:p>
    <w:p w14:paraId="5FE51BA5"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hai</w:t>
      </w:r>
      <w:r w:rsidRPr="000B0F3D">
        <w:rPr>
          <w:rFonts w:ascii="Times New Roman" w:eastAsia="Times New Roman" w:hAnsi="Times New Roman" w:cs="Times New Roman"/>
          <w:color w:val="000000" w:themeColor="text1"/>
          <w:kern w:val="0"/>
          <w:sz w:val="28"/>
          <w:szCs w:val="28"/>
          <w:lang w:val="vi-VN"/>
          <w14:ligatures w14:val="none"/>
        </w:rPr>
        <w:t xml:space="preserve">, cần hoàn thiện hệ thống pháp luật, đặc biệt là hệ thống luật tố tụng và các văn bản luật có liên quan, như Châu Âu hay Hoa Kỳ đã quy định rõ trong các văn bản pháp lý về việc tạo điều kiện cho các bên sử dụng ODR. Bất kỳ quy </w:t>
      </w:r>
      <w:r w:rsidRPr="000B0F3D">
        <w:rPr>
          <w:rFonts w:ascii="Times New Roman" w:eastAsia="Times New Roman" w:hAnsi="Times New Roman" w:cs="Times New Roman"/>
          <w:color w:val="000000" w:themeColor="text1"/>
          <w:kern w:val="0"/>
          <w:sz w:val="28"/>
          <w:szCs w:val="28"/>
          <w:lang w:val="vi-VN"/>
          <w14:ligatures w14:val="none"/>
        </w:rPr>
        <w:lastRenderedPageBreak/>
        <w:t>trình giải quyết tranh chấp nào cũng đều phải dựa trên các chứng cứ của tranh chấp. Do đó, yêu cầu đầu tiên đối với việc hoàn thiện pháp luật giải quyết tranh chấp trực tuyến là phải hoàn thiện quy định về văn bản điện tử, chữ ký điện tử, chứng cứ điện tử. Nghị định số 22/NĐ-CP/2017 bước đầu đã quy định về cơ chế hòa giải online nhưng cũng chưa chỉ rõ cơ chế đó được áp dụng cho những tranh chấp nào, thủ tục và hiệu lực pháp lý của các phán quyết từ cơ chế đó ra sao. Bên cạnh đó, cần quy định rõ hơn trách nhiệm của các bên trong các mối quan hệ trực tuyến có hoặc không sử dụng nền tảng công nghệ (trách nhiệm đối với an toàn thông tin, trách nhiệm đối với bảo mật dữ liệu, trách nhiệm cẩn trọng trong ứng xử, trách nhiệm trong các tình huống tranh chấp cụ thể). Việc bổ sung những quy định đã đề cập ở trên nhằm giảm thiểu tranh chấp, tạo hành lang pháp lý và môi trường minh bạch cho sự phát triển của thương mại điện tử.</w:t>
      </w:r>
    </w:p>
    <w:p w14:paraId="73626AB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ba</w:t>
      </w:r>
      <w:r w:rsidRPr="000B0F3D">
        <w:rPr>
          <w:rFonts w:ascii="Times New Roman" w:eastAsia="Times New Roman" w:hAnsi="Times New Roman" w:cs="Times New Roman"/>
          <w:color w:val="000000" w:themeColor="text1"/>
          <w:kern w:val="0"/>
          <w:sz w:val="28"/>
          <w:szCs w:val="28"/>
          <w:lang w:val="vi-VN"/>
          <w14:ligatures w14:val="none"/>
        </w:rPr>
        <w:t>, trước cuộc cách mạng công nghiệp 4.0 và sự phát triển của nền kinh tế số, vấn đề áp dụng ODR trong giải quyết tranh chấp thương mại điện tử dần trở thành một xu thế và Việt Nam cũng không thể nằm ngoài dòng chảy. Các tổ chức tham gia vào giải quyết tranh chấp thương mại không thể quay lưng, mà phải tìm hiểu, nghiên cứu và sử dụng các nguồn lực mà mình có để tận dụng tối đa những lợi thế, cơ hội mà ODR mang lại, trong đó bên cạnh kỹ thuật, pháp luật thì yếu tố về con người không thể không kể đến. Việc đào tạo, bồi dưỡng đội ngũ luật sư, thẩm phán, hòa giải viên… nắm bắt được xu hướng và thích nghi, thuần thục với ODR là điều vô cùng cần thiết.</w:t>
      </w:r>
    </w:p>
    <w:p w14:paraId="21A5169F"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tư</w:t>
      </w:r>
      <w:r w:rsidRPr="000B0F3D">
        <w:rPr>
          <w:rFonts w:ascii="Times New Roman" w:eastAsia="Times New Roman" w:hAnsi="Times New Roman" w:cs="Times New Roman"/>
          <w:color w:val="000000" w:themeColor="text1"/>
          <w:kern w:val="0"/>
          <w:sz w:val="28"/>
          <w:szCs w:val="28"/>
          <w:lang w:val="vi-VN"/>
          <w14:ligatures w14:val="none"/>
        </w:rPr>
        <w:t>, Nhà nước cần học hỏi thêm các mô hình giải quyết tranh chấp trực tuyến từ các quốc gia khác như mô hình thương lượng trực tuyến, hòa giải, trọng tài trực tuyến của Hoa Kì, hay mô hình hội nghị từ xa của Singapore, hoặc hệ thống tòa án trực tuyến của Trung Quốc và áp dụng một cách linh hoạt sao cho phù hợp với hoàn cảnh, điều kiện cụ thể của Việt Nam.</w:t>
      </w:r>
    </w:p>
    <w:p w14:paraId="55619C50" w14:textId="77777777" w:rsidR="003B5CA5" w:rsidRPr="000B0F3D" w:rsidRDefault="003B5CA5"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5. Kết luận</w:t>
      </w:r>
    </w:p>
    <w:p w14:paraId="1CB69F01"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Như đã đề cập ở trên, thương mại điện tử Việt Nam đang phát triển rất mạnh, với tốc độ tăng trưởng trung bình những năm gần đây đạt 38% và dự báo sẽ đạt giá trị 52 tỷ USD vào năm 2025. Để duy trì sự phát triển của thương mại điện tử và phát huy được những lợi ích của nó đối với nền kinh tế, một trong những vấn đề cần đặc biệt quan tâm là thúc đẩy áp dụng các cơ chế giải quyết tranh chấp trực tuyến. Muốn vậy, việc hoàn thiện về mặt thể chế và pháp luật trong lĩnh vực thương mại điện tử nhằm phổ biến và ứng dụng ODR là điều cần thiết và phải được triển khai nhanh chóng trong thời gian tới.</w:t>
      </w:r>
    </w:p>
    <w:p w14:paraId="24FE9918"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lastRenderedPageBreak/>
        <w:t>TÀI LIỆU THAM KHẢO:</w:t>
      </w:r>
    </w:p>
    <w:p w14:paraId="5643FC3E"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Duong Quynh Hoa - Institute of State and Law, Vietnam Academy of Social Sciences (2021), Online dispute resolution in Vietnam, truy cập tại website: https://vietnamlawmagazine.vn/online-dispute-resolution-in-vietnam-27588.html</w:t>
      </w:r>
    </w:p>
    <w:p w14:paraId="0930BE27"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Nguyễn Thị Hồng Anh &amp; Cộng sự (2022), Xét xử trực tuyến: Kinh nghiệm quốc tế và bài học cho Việt Nam, truy cập tại trang thông tin điện tử của Tạp chí Tòa án Nhân dân, website https://tapchitoaan.vn</w:t>
      </w:r>
    </w:p>
    <w:p w14:paraId="2DFB99AA"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Nước Cộng hòa xã hội chủ nghĩa Việt Nam (2005). Luật Thương mại 2005.</w:t>
      </w:r>
    </w:p>
    <w:p w14:paraId="2842CAC7"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Hoàng Thị Huệ (2021), Phương thức giải quyết tranh chấp trực tuyến được ứng dụng tại một số quốc gia trên thế giới ra sao?, truy cập tại website: https://luatminhkhue.vn/phuong-thuc-giai-quyet-tranh-chap-truc-tuyen-duoc-ung-dung-tai-mot-so-quoc-gia-tren-the-gioi-ra-sao.aspx</w:t>
      </w:r>
    </w:p>
    <w:p w14:paraId="2569FABA"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Nguyễn Thành Minh Chánh - Khoa Luật, Trường Đại học Công nghiệp TP. Hồ Chí Minh (2021), Phương thức giải quyết tranh chấp trực tuyến trong thương mại điện tử tại Việt Nam, truy cập tại website </w:t>
      </w:r>
      <w:hyperlink r:id="rId20" w:history="1">
        <w:r w:rsidRPr="0080689F">
          <w:rPr>
            <w:rFonts w:ascii="Times New Roman" w:eastAsia="Times New Roman" w:hAnsi="Times New Roman" w:cs="Times New Roman"/>
            <w:i/>
            <w:iCs/>
            <w:color w:val="000000" w:themeColor="text1"/>
            <w:kern w:val="0"/>
            <w:sz w:val="28"/>
            <w:szCs w:val="28"/>
            <w:u w:val="single"/>
            <w14:ligatures w14:val="none"/>
          </w:rPr>
          <w:t>http://lapphap.vn/Pages/TinTuc/210953/Phuong-thuc-giai-quyet-tranh-chap-truc-tuyen-trong-thuong-mai-dien-tu-tai-Viet-Nam.html</w:t>
        </w:r>
      </w:hyperlink>
    </w:p>
    <w:p w14:paraId="6DC48184"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Võ Minh Kỳ (2021), Xu hướng xét xử trực tuyến ở Hoa Kỳ, Singapore, Trung Quốc và gợi mở cho Việt Nam, truy cập tại website http://www.lapphap.vn/Pages/TinTuc/210891/Xu-huong-xet-xu-truc-tuyen-o-Hoa-Ky--Singapore--Trung-Quoc-va-goi-mo-cho-Viet-Nam.html</w:t>
      </w:r>
    </w:p>
    <w:p w14:paraId="26A99DE4"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UNCITRAL (2016). Technical Notes on Online Dispute Resolution. United Nations.</w:t>
      </w:r>
    </w:p>
    <w:p w14:paraId="541AEDE6" w14:textId="77777777" w:rsidR="003B5CA5" w:rsidRPr="0080689F" w:rsidRDefault="003B5CA5" w:rsidP="00E71244">
      <w:pPr>
        <w:ind w:firstLine="709"/>
        <w:jc w:val="both"/>
        <w:rPr>
          <w:rFonts w:ascii="Times New Roman" w:hAnsi="Times New Roman" w:cs="Times New Roman"/>
          <w:color w:val="000000" w:themeColor="text1"/>
          <w:sz w:val="28"/>
          <w:szCs w:val="28"/>
        </w:rPr>
      </w:pPr>
    </w:p>
    <w:p w14:paraId="70BE04F9" w14:textId="77777777" w:rsidR="0080689F" w:rsidRDefault="0080689F">
      <w:pPr>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14:ligatures w14:val="none"/>
        </w:rPr>
        <w:br w:type="page"/>
      </w:r>
    </w:p>
    <w:p w14:paraId="644C600E" w14:textId="1DAE0597" w:rsidR="003B5CA5" w:rsidRPr="0080689F" w:rsidRDefault="0080689F" w:rsidP="0080689F">
      <w:pPr>
        <w:ind w:firstLine="709"/>
        <w:jc w:val="center"/>
        <w:rPr>
          <w:rFonts w:ascii="Times New Roman" w:eastAsia="Times New Roman" w:hAnsi="Times New Roman" w:cs="Times New Roman"/>
          <w:b/>
          <w:color w:val="000000" w:themeColor="text1"/>
          <w:kern w:val="0"/>
          <w:sz w:val="28"/>
          <w:szCs w:val="28"/>
          <w14:ligatures w14:val="none"/>
        </w:rPr>
      </w:pPr>
      <w:r w:rsidRPr="0080689F">
        <w:rPr>
          <w:rFonts w:ascii="Times New Roman" w:eastAsia="Times New Roman" w:hAnsi="Times New Roman" w:cs="Times New Roman"/>
          <w:b/>
          <w:color w:val="000000" w:themeColor="text1"/>
          <w:kern w:val="0"/>
          <w:sz w:val="28"/>
          <w:szCs w:val="28"/>
          <w14:ligatures w14:val="none"/>
        </w:rPr>
        <w:lastRenderedPageBreak/>
        <w:t>ỨNG DỤNG HỢP ĐỒNG THÔNG MINH TRÊN NỀN TẢNG BLOCKCHAIN CHO HOẠT ĐỘNG KIỂM TOÁN NỘI BỘ - MỘT SỐ GỢI Ý CHO VIỆT NAM</w:t>
      </w:r>
    </w:p>
    <w:p w14:paraId="610DEC53" w14:textId="49B85BE5" w:rsidR="003B5CA5" w:rsidRPr="0080689F" w:rsidRDefault="00DA096E" w:rsidP="0080689F">
      <w:pPr>
        <w:ind w:firstLine="709"/>
        <w:jc w:val="right"/>
        <w:rPr>
          <w:rFonts w:ascii="Times New Roman" w:eastAsia="Times New Roman" w:hAnsi="Times New Roman" w:cs="Times New Roman"/>
          <w:b/>
          <w:color w:val="000000" w:themeColor="text1"/>
          <w:kern w:val="0"/>
          <w:sz w:val="28"/>
          <w:szCs w:val="28"/>
          <w14:ligatures w14:val="none"/>
        </w:rPr>
      </w:pPr>
      <w:r>
        <w:rPr>
          <w:rFonts w:ascii="Times New Roman" w:eastAsia="Times New Roman" w:hAnsi="Times New Roman" w:cs="Times New Roman"/>
          <w:b/>
          <w:bCs/>
          <w:color w:val="000000" w:themeColor="text1"/>
          <w:kern w:val="0"/>
          <w:sz w:val="28"/>
          <w:szCs w:val="28"/>
          <w14:ligatures w14:val="none"/>
        </w:rPr>
        <w:t>TS. Đào Xuân Thuỷ</w:t>
      </w:r>
    </w:p>
    <w:p w14:paraId="6E3013ED" w14:textId="6853FB8D" w:rsidR="003B5CA5" w:rsidRPr="0080689F" w:rsidRDefault="00DA096E" w:rsidP="0080689F">
      <w:pPr>
        <w:ind w:firstLine="709"/>
        <w:jc w:val="right"/>
        <w:rPr>
          <w:rFonts w:ascii="Times New Roman" w:eastAsia="Times New Roman" w:hAnsi="Times New Roman" w:cs="Times New Roman"/>
          <w:b/>
          <w:color w:val="000000" w:themeColor="text1"/>
          <w:kern w:val="0"/>
          <w:sz w:val="28"/>
          <w:szCs w:val="28"/>
          <w14:ligatures w14:val="none"/>
        </w:rPr>
      </w:pPr>
      <w:r>
        <w:rPr>
          <w:rFonts w:ascii="Times New Roman" w:eastAsia="Times New Roman" w:hAnsi="Times New Roman" w:cs="Times New Roman"/>
          <w:b/>
          <w:i/>
          <w:iCs/>
          <w:color w:val="000000" w:themeColor="text1"/>
          <w:kern w:val="0"/>
          <w:sz w:val="28"/>
          <w:szCs w:val="28"/>
          <w14:ligatures w14:val="none"/>
        </w:rPr>
        <w:t>Khoa Luật, Trường Đại học Ngoại thương</w:t>
      </w:r>
    </w:p>
    <w:p w14:paraId="5BA0B6F7" w14:textId="025CF636" w:rsidR="003B5CA5" w:rsidRPr="0080689F" w:rsidRDefault="003B5CA5" w:rsidP="00DA096E">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Tóm tắt: </w:t>
      </w:r>
      <w:r w:rsidRPr="0080689F">
        <w:rPr>
          <w:rFonts w:ascii="Times New Roman" w:eastAsia="Times New Roman" w:hAnsi="Times New Roman" w:cs="Times New Roman"/>
          <w:color w:val="000000" w:themeColor="text1"/>
          <w:kern w:val="0"/>
          <w:sz w:val="28"/>
          <w:szCs w:val="28"/>
          <w14:ligatures w14:val="none"/>
        </w:rPr>
        <w:t>Công nghệ Blockchain có những đặc tính nổi trội về tính minh bạch, phi tập trung, cố định, vận hành như một sổ cái phân tán… Trong đó, việc ứng dụng hợp đồng thông minh trên nền tảng công nghệ Blockchain vào hoạt động kiểm toán nội bộ đã và đang mang lại nhiều hiệu quả trong công việc, thay đổi một cách rõ rệt về phương thức và thủ tục kiểm toán có nhiều khác biệt so với quy trình kiểm toán truyền thống. Sự tiến bộ trong ứng dụng công nghệ hợp đồng thông minh trên nền tảng Blockchain không những mang lại những thuận lợi, mà còn là thách thức cho các tổ chức kiểm toán nội bộ lẫn kiểm toán viên nhằm thích nghi và đạt được hiệu quả trước xu thế mới. Bài viết sử dụng phương pháp thu thập, tổng hợp các nghiên cứu có chỉ số trích dẫn cao, thông tin cập nhật gần nhất trên các dữ liệu đáng tin cậy như ScienceDirect, Google Scholar kết hợp với phương pháp đối chiếu, so sánh để đúc kết và đưa ra các đề xuất mang tính gợi mở hướng đến giải pháp hiệu quả cho việc ứng dụng đặc tính hợp đồng thông minh của Blockchain trong hoạt động kiểm toán nội bộ tại Việt Nam.</w:t>
      </w:r>
    </w:p>
    <w:p w14:paraId="3F980F47" w14:textId="435E2B57" w:rsidR="003B5CA5" w:rsidRPr="0080689F" w:rsidRDefault="003B5CA5" w:rsidP="00DA096E">
      <w:pPr>
        <w:jc w:val="both"/>
        <w:rPr>
          <w:rFonts w:ascii="Times New Roman" w:eastAsia="Times New Roman" w:hAnsi="Times New Roman" w:cs="Times New Roman"/>
          <w:color w:val="000000" w:themeColor="text1"/>
          <w:kern w:val="0"/>
          <w:sz w:val="28"/>
          <w:szCs w:val="28"/>
          <w14:ligatures w14:val="none"/>
        </w:rPr>
      </w:pPr>
    </w:p>
    <w:p w14:paraId="4F28A5C0" w14:textId="4C420871" w:rsidR="003B5CA5" w:rsidRPr="0080689F" w:rsidRDefault="003B5CA5" w:rsidP="00DA096E">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THE APPLICATION OF SMART CONTRACT ON THE BLOCKCHAIN PLATFORM FOR INTERNAL AUDIT ACTIVITIES AND RECOMMENDATIONS</w:t>
      </w:r>
    </w:p>
    <w:p w14:paraId="4A19CF90" w14:textId="1C4AA774" w:rsidR="003B5CA5" w:rsidRPr="0080689F" w:rsidRDefault="003B5CA5" w:rsidP="00DA096E">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Abstract: </w:t>
      </w:r>
      <w:r w:rsidRPr="0080689F">
        <w:rPr>
          <w:rFonts w:ascii="Times New Roman" w:eastAsia="Times New Roman" w:hAnsi="Times New Roman" w:cs="Times New Roman"/>
          <w:color w:val="000000" w:themeColor="text1"/>
          <w:kern w:val="0"/>
          <w:sz w:val="28"/>
          <w:szCs w:val="28"/>
          <w14:ligatures w14:val="none"/>
        </w:rPr>
        <w:t xml:space="preserve">Blockchain technology has outstanding characteristics such as transparency, decentralization, immutability, operating as a distributed ledger, etc. The application of smart contracts on the blockchain platform for internal audit activities has brought a lot of efficiency to the workplace, clearly changing the methods and procedures of auditing with many differences compared to the traditional audit process. The advancement in the application of smart contract technology on the Blockchain platform not only brings advantages but also challenges for internal audit organizations and auditors in order to adapt and achieve efficiency against the new trend. This article uses the method of collecting and synthesizing studies with a high citation index and the most up-to-date information from reliable data sources such as ScienceDirect and Google Scholar </w:t>
      </w:r>
      <w:r w:rsidRPr="0080689F">
        <w:rPr>
          <w:rFonts w:ascii="Times New Roman" w:eastAsia="Times New Roman" w:hAnsi="Times New Roman" w:cs="Times New Roman"/>
          <w:color w:val="000000" w:themeColor="text1"/>
          <w:kern w:val="0"/>
          <w:sz w:val="28"/>
          <w:szCs w:val="28"/>
          <w14:ligatures w14:val="none"/>
        </w:rPr>
        <w:lastRenderedPageBreak/>
        <w:t>combined with the method of comparison to summarize and give recommendations towards effective solutions for the application of the smart contract features of blockchain to internal audit activities in Vietnam.</w:t>
      </w:r>
      <w:r w:rsidRPr="0080689F">
        <w:rPr>
          <w:rFonts w:ascii="Times New Roman" w:eastAsia="Times New Roman" w:hAnsi="Times New Roman" w:cs="Times New Roman"/>
          <w:color w:val="000000" w:themeColor="text1"/>
          <w:kern w:val="0"/>
          <w:sz w:val="28"/>
          <w:szCs w:val="28"/>
          <w14:ligatures w14:val="none"/>
        </w:rPr>
        <w:br/>
        <w:t> </w:t>
      </w:r>
      <w:r w:rsidRPr="0080689F">
        <w:rPr>
          <w:rFonts w:ascii="Times New Roman" w:eastAsia="Times New Roman" w:hAnsi="Times New Roman" w:cs="Times New Roman"/>
          <w:color w:val="000000" w:themeColor="text1"/>
          <w:kern w:val="0"/>
          <w:sz w:val="28"/>
          <w:szCs w:val="28"/>
          <w14:ligatures w14:val="none"/>
        </w:rPr>
        <w:br/>
      </w:r>
      <w:r w:rsidRPr="0080689F">
        <w:rPr>
          <w:rFonts w:ascii="Times New Roman" w:eastAsia="Times New Roman" w:hAnsi="Times New Roman" w:cs="Times New Roman"/>
          <w:b/>
          <w:bCs/>
          <w:color w:val="000000" w:themeColor="text1"/>
          <w:kern w:val="0"/>
          <w:sz w:val="28"/>
          <w:szCs w:val="28"/>
          <w14:ligatures w14:val="none"/>
        </w:rPr>
        <w:t>1. Giới thiệu</w:t>
      </w:r>
    </w:p>
    <w:p w14:paraId="5B3CA233" w14:textId="5352A3C3"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Tác giả cuốn sách nổi tiếng xuất bản năm 2018 với tựa đề “Bank 4.0 - Ngân hàng số: Giao dịch mọi nơi, không chỉ ở ngân hàng”, Brett King viết: “Nếu bạn nghĩ Blockchain chỉ tập trung vào tiền mã hóa thì bạn đã lầm. Nếu bạn nghĩ Blockchain thuộc lĩnh vực tài chính thì bạn cũng đã sai rồi. Nếu có cơ sở dữ liệu nào trên thế giới cần vận hành theo mô hình phân tán, khả năng xác thực hiệu quả và quản lí sự tự động thì chỉ trong vài thập kỉ tới, Blockchain sẽ trở thành nền tảng cho các cơ sở dữ liệu này”. Theo thống kê của Finance Online, một số chỉ số dự báo liên quan đến triển vọng thị trường công nghệ Blockchain như sau</w:t>
      </w:r>
      <w:r w:rsidRPr="0080689F">
        <w:rPr>
          <w:rFonts w:ascii="Times New Roman" w:eastAsia="Times New Roman" w:hAnsi="Times New Roman" w:cs="Times New Roman"/>
          <w:color w:val="000000" w:themeColor="text1"/>
          <w:kern w:val="0"/>
          <w:sz w:val="28"/>
          <w:szCs w:val="28"/>
          <w:vertAlign w:val="superscript"/>
          <w14:ligatures w14:val="none"/>
        </w:rPr>
        <w:t>1</w:t>
      </w:r>
      <w:r w:rsidRPr="0080689F">
        <w:rPr>
          <w:rFonts w:ascii="Times New Roman" w:eastAsia="Times New Roman" w:hAnsi="Times New Roman" w:cs="Times New Roman"/>
          <w:color w:val="000000" w:themeColor="text1"/>
          <w:kern w:val="0"/>
          <w:sz w:val="28"/>
          <w:szCs w:val="28"/>
          <w14:ligatures w14:val="none"/>
        </w:rPr>
        <w:t>: Công nghệ Blockchain sẽ thúc đẩy GDP toàn cầu trên 1.000 tỉ USD vào năm 2030, chi tiêu toàn cầu cho các giải pháp ứng dụng công nghệ Blockchain đạt trên 17 tỉ USD vào năm 2024, trong đó ngành Ngân hàng đứng đầu trong tỉ trọng chi tiêu ứng dụng giải pháp này. Nếu xét về chi phí chi tiêu cho ứng dụng công nghệ Blockchain theo quốc gia, khu vực địa lí thì Mỹ đứng đầu; kế đó là khu vực các quốc gia Tây Âu; Trung Quốc và Nhật Bản là hai quốc gia đứng đầu khu vực châu Á. Theo một khảo sát của Công ty kiểm toán Deloitte vào năm 2020, 88% giám đốc điều hành cấp cao nghĩ rằng, công nghệ Blockchain cuối cùng sẽ đạt được sự chấp nhận rộng rãi, 39% giám đốc điều hành cấp cao từ khắp nơi trên thế giới nói rằng, họ đã áp dụng công nghệ Blockchain trong tổ chức của mình, 41% trong số các công ty này có doanh thu hơn 100 triệu USD và 46% có doanh thu hơn 1 tỉ USD. Các trường hợp đứng đầu về ứng dụng Blockchain tại các tổ chức trên toàn thế giới là tiền kĩ thuật số (33%), truy cập và chia sẻ dữ liệu (32%), đối chiếu dữ liệu (31%). Các trường hợp sử dụng phổ biến khác bao gồm bảo vệ danh tính (31%), thanh toán (30%), theo dõi và truy tìm nguồn gốc (27%) (Deloitte, 2020).</w:t>
      </w:r>
    </w:p>
    <w:p w14:paraId="40276508" w14:textId="1A315695"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Những thống kê và dự báo trên cho thấy, công nghệ Blockchain đang có xu thế bao trùm trong nhiều lĩnh vực từ đời sống xã hội đến kinh tế, chính trị trên toàn thế giới. Do đó, việc nghiên cứu, ứng dụng công nghệ Blockchain cho trường hợp tại Việt Nam, đặc biệt là lĩnh vực kiểm toán nội bộ là hết sức cần thiết.</w:t>
      </w:r>
    </w:p>
    <w:p w14:paraId="51943C33" w14:textId="10D60475" w:rsidR="003B5CA5" w:rsidRPr="0080689F" w:rsidRDefault="003B5CA5" w:rsidP="0080689F">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xml:space="preserve">Trên cơ sở này, nhóm tác giả sử dụng phương pháp thu thập, tổng hợp các nghiên cứu có liên quan đến công nghệ Blockchain bằng việc sử dụng các hợp đồng thông minh. Nhóm tác giả ưu tiên lựa chọn các nghiên cứu có chỉ số trích dẫn cao, thông tin cập nhật gần nhất tại các nguồn dữ liệu đáng tin cậy như Science </w:t>
      </w:r>
      <w:r w:rsidRPr="0080689F">
        <w:rPr>
          <w:rFonts w:ascii="Times New Roman" w:eastAsia="Times New Roman" w:hAnsi="Times New Roman" w:cs="Times New Roman"/>
          <w:color w:val="000000" w:themeColor="text1"/>
          <w:kern w:val="0"/>
          <w:sz w:val="28"/>
          <w:szCs w:val="28"/>
          <w14:ligatures w14:val="none"/>
        </w:rPr>
        <w:lastRenderedPageBreak/>
        <w:t>Direct, Google Scholar. Sau đó, dữ liệu của các bài nghiên cứu sẽ được đối chiếu, so sánh để đúc kết, thông qua đánh giá theo quan điểm khách quan, nhất quán và logic; từ đó, nhóm tác giả đưa ra các đề xuất mang tính gợi mở hướng đến giải pháp hiệu quả cho việc ứng dụng đặc tính hợp đồng thông minh của Blockchain trong hoạt động kiểm toán nội bộ tại Việt Nam.</w:t>
      </w:r>
      <w:r w:rsidR="0080689F">
        <w:rPr>
          <w:rFonts w:ascii="Times New Roman" w:eastAsia="Times New Roman" w:hAnsi="Times New Roman" w:cs="Times New Roman"/>
          <w:color w:val="000000" w:themeColor="text1"/>
          <w:kern w:val="0"/>
          <w:sz w:val="28"/>
          <w:szCs w:val="28"/>
          <w14:ligatures w14:val="none"/>
        </w:rPr>
        <w:t> </w:t>
      </w:r>
    </w:p>
    <w:p w14:paraId="3ED657B4" w14:textId="21A12A87" w:rsidR="003B5CA5" w:rsidRPr="0080689F" w:rsidRDefault="003B5CA5" w:rsidP="0080689F">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2. Công nghệ Blockchain và hợp đồng thông minh </w:t>
      </w:r>
    </w:p>
    <w:p w14:paraId="3FEF72CD" w14:textId="24614B54" w:rsidR="003B5CA5" w:rsidRPr="0080689F" w:rsidRDefault="003B5CA5" w:rsidP="0080689F">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2.1. Công nghệ Blockchain</w:t>
      </w:r>
    </w:p>
    <w:p w14:paraId="6013F737" w14:textId="1F9A2DD4"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Theo Islam và cộng sự (2022), vào đầu những năm 1990, công nghệ Blockchain đã được tạo lập, giới thiệu và sử dụng cho mục đích tránh gian lận về giả mạo cũng như đánh dấu việc lưu trữ dữ liệu dưới dạng kĩ thuật số. Tuy nhiên, mãi cho đến năm 2008, sau bài nghiên cứu có tên “Bitcoin: Hệ thống tiền mặt điện tử ngang hàng”</w:t>
      </w:r>
      <w:r w:rsidRPr="0080689F">
        <w:rPr>
          <w:rFonts w:ascii="Times New Roman" w:eastAsia="Times New Roman" w:hAnsi="Times New Roman" w:cs="Times New Roman"/>
          <w:color w:val="000000" w:themeColor="text1"/>
          <w:kern w:val="0"/>
          <w:sz w:val="28"/>
          <w:szCs w:val="28"/>
          <w:vertAlign w:val="superscript"/>
          <w14:ligatures w14:val="none"/>
        </w:rPr>
        <w:t>2</w:t>
      </w:r>
      <w:r w:rsidRPr="0080689F">
        <w:rPr>
          <w:rFonts w:ascii="Times New Roman" w:eastAsia="Times New Roman" w:hAnsi="Times New Roman" w:cs="Times New Roman"/>
          <w:color w:val="000000" w:themeColor="text1"/>
          <w:kern w:val="0"/>
          <w:sz w:val="28"/>
          <w:szCs w:val="28"/>
          <w14:ligatures w14:val="none"/>
        </w:rPr>
        <w:t> của Satoshi Nakamoto, công nghệ này được ứng dụng và điều chỉnh để tạo ra một loại tiền mã hóa với tên gọi là Bitcoin. Tuy nhiên, ngày nay, công nghệ Blockchain không chỉ được ứng dụng nhằm phát hành, vận hành và lưu trữ liên quan đến các loại tiền mã hóa như Bitcoin, Ethereum… mà còn được sử dụng trong nhiều lĩnh vực khác của xã hội, trong đó có lĩnh vực tài chính - ngân hàng, kế toán kiểm toán, logistics…(Garg, 2023; Javaid và cộng sự, 2021).</w:t>
      </w:r>
      <w:r w:rsidR="0080689F">
        <w:rPr>
          <w:rFonts w:ascii="Times New Roman" w:eastAsia="Times New Roman" w:hAnsi="Times New Roman" w:cs="Times New Roman"/>
          <w:color w:val="000000" w:themeColor="text1"/>
          <w:kern w:val="0"/>
          <w:sz w:val="28"/>
          <w:szCs w:val="28"/>
          <w14:ligatures w14:val="none"/>
        </w:rPr>
        <w:t> </w:t>
      </w:r>
    </w:p>
    <w:p w14:paraId="78FFE386"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Gates (2017) cho rằng, “Cái tên Bitcoin vẫn gặp rất nhiều ý kiến tiêu cực mặc dù thuật ngữ Blockchain đã trở thành thuật ngữ quan trọng thường được nhắc tới khi thảo luận về công nghệ. Các nhà đầu tư và các tổ chức tài chính có thể không quan tâm đến Bitcoin nhưng họ lại bắt đầu dành sự chú ý đến công nghệ Blockchain”. Hay là trong nghiên cứu về kiểm toán, Rozario và Vasarhelyi (2018) đánh giá về việc ứng dụng công nghệ Blockchain là “có thể thay đổi mạnh mẽ cách thức thực hiện và phân phối các cuộc kiểm toán báo cáo tài chính”. Bên cạnh đó, có một số nghiên cứu đáng lưu ý về ứng dụng của Blockchain trong lĩnh vực tài chính - ngân hàng. (Bảng 1)  </w:t>
      </w:r>
    </w:p>
    <w:p w14:paraId="0DD62238" w14:textId="77777777" w:rsidR="0080689F" w:rsidRDefault="003B5CA5" w:rsidP="0080689F">
      <w:pPr>
        <w:ind w:firstLine="709"/>
        <w:jc w:val="both"/>
        <w:rPr>
          <w:rFonts w:ascii="Times New Roman" w:eastAsia="Times New Roman" w:hAnsi="Times New Roman" w:cs="Times New Roman"/>
          <w:b/>
          <w:bCs/>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Bảng 1: Một số nghiên cứu về ứng dụng của Blockchain </w:t>
      </w:r>
      <w:r w:rsidR="0080689F">
        <w:rPr>
          <w:rFonts w:ascii="Times New Roman" w:eastAsia="Times New Roman" w:hAnsi="Times New Roman" w:cs="Times New Roman"/>
          <w:color w:val="000000" w:themeColor="text1"/>
          <w:kern w:val="0"/>
          <w:sz w:val="28"/>
          <w:szCs w:val="28"/>
          <w14:ligatures w14:val="none"/>
        </w:rPr>
        <w:t xml:space="preserve"> </w:t>
      </w:r>
      <w:r w:rsidRPr="0080689F">
        <w:rPr>
          <w:rFonts w:ascii="Times New Roman" w:eastAsia="Times New Roman" w:hAnsi="Times New Roman" w:cs="Times New Roman"/>
          <w:b/>
          <w:bCs/>
          <w:color w:val="000000" w:themeColor="text1"/>
          <w:kern w:val="0"/>
          <w:sz w:val="28"/>
          <w:szCs w:val="28"/>
          <w14:ligatures w14:val="none"/>
        </w:rPr>
        <w:t>trong lĩnh vực tài chính - ngân hàng</w:t>
      </w:r>
    </w:p>
    <w:p w14:paraId="295A5B73" w14:textId="55F75DCB" w:rsidR="003B5CA5" w:rsidRPr="0080689F" w:rsidRDefault="003B5CA5" w:rsidP="0080689F">
      <w:pPr>
        <w:ind w:firstLine="709"/>
        <w:jc w:val="center"/>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lastRenderedPageBreak/>
        <w:br/>
      </w:r>
      <w:r w:rsidRPr="0080689F">
        <w:rPr>
          <w:rFonts w:ascii="Times New Roman" w:eastAsia="Times New Roman" w:hAnsi="Times New Roman" w:cs="Times New Roman"/>
          <w:b/>
          <w:bCs/>
          <w:color w:val="000000" w:themeColor="text1"/>
          <w:kern w:val="0"/>
          <w:sz w:val="28"/>
          <w:szCs w:val="28"/>
          <w14:ligatures w14:val="none"/>
        </w:rPr>
        <w:br/>
      </w:r>
      <w:r w:rsidRPr="0080689F">
        <w:rPr>
          <w:rFonts w:ascii="Times New Roman" w:eastAsia="Times New Roman" w:hAnsi="Times New Roman" w:cs="Times New Roman"/>
          <w:b/>
          <w:bCs/>
          <w:noProof/>
          <w:color w:val="000000" w:themeColor="text1"/>
          <w:kern w:val="0"/>
          <w:sz w:val="28"/>
          <w:szCs w:val="28"/>
          <w14:ligatures w14:val="none"/>
        </w:rPr>
        <w:drawing>
          <wp:inline distT="0" distB="0" distL="0" distR="0" wp14:anchorId="0F6773C4" wp14:editId="0ED0D7BC">
            <wp:extent cx="4162425" cy="2600325"/>
            <wp:effectExtent l="0" t="0" r="9525" b="9525"/>
            <wp:docPr id="126804329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162425" cy="2600325"/>
                    </a:xfrm>
                    <a:prstGeom prst="rect">
                      <a:avLst/>
                    </a:prstGeom>
                    <a:noFill/>
                    <a:ln>
                      <a:noFill/>
                    </a:ln>
                  </pic:spPr>
                </pic:pic>
              </a:graphicData>
            </a:graphic>
          </wp:inline>
        </w:drawing>
      </w:r>
    </w:p>
    <w:p w14:paraId="0A7326CB"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Nguồn: Patel và cộng sự (2022)</w:t>
      </w:r>
    </w:p>
    <w:p w14:paraId="7EA3EF51" w14:textId="389C8076" w:rsidR="003B5CA5" w:rsidRPr="0080689F" w:rsidRDefault="003B5CA5" w:rsidP="0080689F">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br/>
      </w:r>
      <w:r w:rsidRPr="0080689F">
        <w:rPr>
          <w:rFonts w:ascii="Times New Roman" w:eastAsia="Times New Roman" w:hAnsi="Times New Roman" w:cs="Times New Roman"/>
          <w:b/>
          <w:bCs/>
          <w:i/>
          <w:iCs/>
          <w:color w:val="000000" w:themeColor="text1"/>
          <w:kern w:val="0"/>
          <w:sz w:val="28"/>
          <w:szCs w:val="28"/>
          <w14:ligatures w14:val="none"/>
        </w:rPr>
        <w:t>2.1.1. Khái niệm và mô phỏng</w:t>
      </w:r>
    </w:p>
    <w:p w14:paraId="7220F1C1" w14:textId="0F0D295E" w:rsidR="003B5CA5" w:rsidRPr="0080689F" w:rsidRDefault="003B5CA5" w:rsidP="0080689F">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Có nhiều khái niệm về công nghệ Blockchain; tuy nhiên, người ta thường tiếp cận để đưa ra khái niệm gần nhất với các đặc tính vốn có của nó ở giác độ kĩ thuật. Theo Gomathi và cộng sự  (2020), Blockchain có thể hiểu là một chuỗi các khối chứa dữ liệu đã được mã hóa và vận hành dưới dạng một sổ cái (kế toán) hoặc bản ghi của giao dịch. Nói cách khác, Blockchain là một chuỗi hoặc các bản ghi được lưu trữ dưới dạng các khối chứa dữ liệu đã được mã hóa, phân chia. Dữ liệu này được chia sẻ trên toàn hệ thống và không bị kiểm soát bởi một cơ quan duy nhất. Cấu trúc đơn giản về Blockchain được Gomathi và cộng sự (2020) mô phỏng qua Hình 1.</w:t>
      </w:r>
      <w:r w:rsidR="0080689F">
        <w:rPr>
          <w:rFonts w:ascii="Times New Roman" w:eastAsia="Times New Roman" w:hAnsi="Times New Roman" w:cs="Times New Roman"/>
          <w:color w:val="000000" w:themeColor="text1"/>
          <w:kern w:val="0"/>
          <w:sz w:val="28"/>
          <w:szCs w:val="28"/>
          <w14:ligatures w14:val="none"/>
        </w:rPr>
        <w:t> </w:t>
      </w:r>
    </w:p>
    <w:p w14:paraId="74E778B7"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Hình 1: Mô phỏng đơn giản về Blockchain</w:t>
      </w:r>
    </w:p>
    <w:p w14:paraId="6F0EEB34"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br/>
      </w:r>
      <w:r w:rsidRPr="0080689F">
        <w:rPr>
          <w:rFonts w:ascii="Times New Roman" w:eastAsia="Times New Roman" w:hAnsi="Times New Roman" w:cs="Times New Roman"/>
          <w:b/>
          <w:bCs/>
          <w:i/>
          <w:iCs/>
          <w:noProof/>
          <w:color w:val="000000" w:themeColor="text1"/>
          <w:kern w:val="0"/>
          <w:sz w:val="28"/>
          <w:szCs w:val="28"/>
          <w14:ligatures w14:val="none"/>
        </w:rPr>
        <w:drawing>
          <wp:inline distT="0" distB="0" distL="0" distR="0" wp14:anchorId="7CF0FD3E" wp14:editId="44302B55">
            <wp:extent cx="4162425" cy="1447800"/>
            <wp:effectExtent l="0" t="0" r="9525" b="0"/>
            <wp:docPr id="1977247496"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162425" cy="1447800"/>
                    </a:xfrm>
                    <a:prstGeom prst="rect">
                      <a:avLst/>
                    </a:prstGeom>
                    <a:noFill/>
                    <a:ln>
                      <a:noFill/>
                    </a:ln>
                  </pic:spPr>
                </pic:pic>
              </a:graphicData>
            </a:graphic>
          </wp:inline>
        </w:drawing>
      </w:r>
    </w:p>
    <w:p w14:paraId="2A622B4B"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Nguồn: Gomathi và cộng sự (2020)</w:t>
      </w:r>
    </w:p>
    <w:p w14:paraId="1323AA66" w14:textId="56D65011" w:rsidR="003B5CA5" w:rsidRPr="0080689F" w:rsidRDefault="003B5CA5" w:rsidP="0080689F">
      <w:pPr>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lastRenderedPageBreak/>
        <w:br/>
      </w:r>
      <w:r w:rsidRPr="0080689F">
        <w:rPr>
          <w:rFonts w:ascii="Times New Roman" w:eastAsia="Times New Roman" w:hAnsi="Times New Roman" w:cs="Times New Roman"/>
          <w:b/>
          <w:bCs/>
          <w:i/>
          <w:iCs/>
          <w:color w:val="000000" w:themeColor="text1"/>
          <w:kern w:val="0"/>
          <w:sz w:val="28"/>
          <w:szCs w:val="28"/>
          <w14:ligatures w14:val="none"/>
        </w:rPr>
        <w:t>2.1.2. Cấu trúc, vận hành và đặc tính kĩ thuật của công nghệ Blockchain</w:t>
      </w:r>
    </w:p>
    <w:p w14:paraId="3003494C" w14:textId="77777777" w:rsidR="0080689F" w:rsidRDefault="003B5CA5" w:rsidP="0080689F">
      <w:pPr>
        <w:ind w:firstLine="709"/>
        <w:jc w:val="center"/>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Cấu trúc của Blockchain: </w:t>
      </w:r>
      <w:r w:rsidRPr="0080689F">
        <w:rPr>
          <w:rFonts w:ascii="Times New Roman" w:eastAsia="Times New Roman" w:hAnsi="Times New Roman" w:cs="Times New Roman"/>
          <w:color w:val="000000" w:themeColor="text1"/>
          <w:kern w:val="0"/>
          <w:sz w:val="28"/>
          <w:szCs w:val="28"/>
          <w14:ligatures w14:val="none"/>
        </w:rPr>
        <w:t>Nghiên cứu của Nguyen và Luu (2018) cho thấy, về cơ bản, Blockchain có ba phần chính: Khối (Block), chuỗi (Chain) và mạng lưới. Trong đó, Block được xem là bản danh sách các giao dịch được ghi vào sổ cái trong một khoảng thời gian nhất định. Tùy theo từng phương thức phân loại trong vận hành mà kích thước, thời gian và dữ liệu trên các Block sẽ khác nhau. Chain là một Hash (hàm băm) nối các Block lại với nhau bằng một thuật toán, theo Nguyễn và Lưu (2018), Hash được xem là “dấu vân tay của dữ liệu và kết nối, bảo mật cũng như khóa các Block lại với nhau theo trật tự và thời gian”. Cuối cùng, mạng lưới là một tổ hợp các nút và đó cũng chính là các máy tính dùng để chạy các thuật toán, mỗi nút chứa toàn bộ các dữ liệu hay bản ghi đầy đủ của các giao dịch trên toàn hệ thống Blockchain. (Hình 2)</w:t>
      </w:r>
      <w:r w:rsidRPr="0080689F">
        <w:rPr>
          <w:rFonts w:ascii="Times New Roman" w:eastAsia="Times New Roman" w:hAnsi="Times New Roman" w:cs="Times New Roman"/>
          <w:color w:val="000000" w:themeColor="text1"/>
          <w:kern w:val="0"/>
          <w:sz w:val="28"/>
          <w:szCs w:val="28"/>
          <w14:ligatures w14:val="none"/>
        </w:rPr>
        <w:br/>
        <w:t> </w:t>
      </w:r>
      <w:r w:rsidRPr="0080689F">
        <w:rPr>
          <w:rFonts w:ascii="Times New Roman" w:eastAsia="Times New Roman" w:hAnsi="Times New Roman" w:cs="Times New Roman"/>
          <w:b/>
          <w:bCs/>
          <w:color w:val="000000" w:themeColor="text1"/>
          <w:kern w:val="0"/>
          <w:sz w:val="28"/>
          <w:szCs w:val="28"/>
          <w14:ligatures w14:val="none"/>
        </w:rPr>
        <w:t>Hình 2: Mô phỏng cấu trúc về Blockchain</w:t>
      </w:r>
      <w:r w:rsidRPr="0080689F">
        <w:rPr>
          <w:rFonts w:ascii="Times New Roman" w:eastAsia="Times New Roman" w:hAnsi="Times New Roman" w:cs="Times New Roman"/>
          <w:b/>
          <w:bCs/>
          <w:color w:val="000000" w:themeColor="text1"/>
          <w:kern w:val="0"/>
          <w:sz w:val="28"/>
          <w:szCs w:val="28"/>
          <w14:ligatures w14:val="none"/>
        </w:rPr>
        <w:br/>
      </w:r>
      <w:r w:rsidRPr="0080689F">
        <w:rPr>
          <w:rFonts w:ascii="Times New Roman" w:eastAsia="Times New Roman" w:hAnsi="Times New Roman" w:cs="Times New Roman"/>
          <w:b/>
          <w:bCs/>
          <w:color w:val="000000" w:themeColor="text1"/>
          <w:kern w:val="0"/>
          <w:sz w:val="28"/>
          <w:szCs w:val="28"/>
          <w14:ligatures w14:val="none"/>
        </w:rPr>
        <w:br/>
      </w:r>
      <w:r w:rsidRPr="0080689F">
        <w:rPr>
          <w:rFonts w:ascii="Times New Roman" w:eastAsia="Times New Roman" w:hAnsi="Times New Roman" w:cs="Times New Roman"/>
          <w:b/>
          <w:bCs/>
          <w:noProof/>
          <w:color w:val="000000" w:themeColor="text1"/>
          <w:kern w:val="0"/>
          <w:sz w:val="28"/>
          <w:szCs w:val="28"/>
          <w14:ligatures w14:val="none"/>
        </w:rPr>
        <w:drawing>
          <wp:inline distT="0" distB="0" distL="0" distR="0" wp14:anchorId="06FB46CE" wp14:editId="78CFFADF">
            <wp:extent cx="4924425" cy="2523977"/>
            <wp:effectExtent l="0" t="0" r="0" b="0"/>
            <wp:docPr id="52838676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963852" cy="2544185"/>
                    </a:xfrm>
                    <a:prstGeom prst="rect">
                      <a:avLst/>
                    </a:prstGeom>
                    <a:noFill/>
                    <a:ln>
                      <a:noFill/>
                    </a:ln>
                  </pic:spPr>
                </pic:pic>
              </a:graphicData>
            </a:graphic>
          </wp:inline>
        </w:drawing>
      </w:r>
    </w:p>
    <w:p w14:paraId="35C21A66" w14:textId="6F5F245F" w:rsidR="003B5CA5" w:rsidRPr="0080689F" w:rsidRDefault="003B5CA5" w:rsidP="0080689F">
      <w:pPr>
        <w:ind w:firstLine="709"/>
        <w:jc w:val="center"/>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Nguồn: Salman và cộng sự (2018)</w:t>
      </w:r>
    </w:p>
    <w:p w14:paraId="727B9318" w14:textId="7896B307" w:rsidR="003B5CA5" w:rsidRPr="0080689F" w:rsidRDefault="003B5CA5" w:rsidP="0080689F">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br/>
      </w:r>
      <w:r w:rsidRPr="0080689F">
        <w:rPr>
          <w:rFonts w:ascii="Times New Roman" w:eastAsia="Times New Roman" w:hAnsi="Times New Roman" w:cs="Times New Roman"/>
          <w:i/>
          <w:iCs/>
          <w:color w:val="000000" w:themeColor="text1"/>
          <w:kern w:val="0"/>
          <w:sz w:val="28"/>
          <w:szCs w:val="28"/>
          <w14:ligatures w14:val="none"/>
        </w:rPr>
        <w:t>Vận hành Blockchain: </w:t>
      </w:r>
      <w:r w:rsidRPr="0080689F">
        <w:rPr>
          <w:rFonts w:ascii="Times New Roman" w:eastAsia="Times New Roman" w:hAnsi="Times New Roman" w:cs="Times New Roman"/>
          <w:color w:val="000000" w:themeColor="text1"/>
          <w:kern w:val="0"/>
          <w:sz w:val="28"/>
          <w:szCs w:val="28"/>
          <w14:ligatures w14:val="none"/>
        </w:rPr>
        <w:t>Blockchain có thể được vận hành trên nền tảng phân loại theo ba phương thức sau: (i) Blockchain công khai (Public Blockchain); (ii) Blockchain phân quyền (Consortium Blockchain) và Blockchain riêng tư (Pri</w:t>
      </w:r>
      <w:r w:rsidR="0080689F">
        <w:rPr>
          <w:rFonts w:ascii="Times New Roman" w:eastAsia="Times New Roman" w:hAnsi="Times New Roman" w:cs="Times New Roman"/>
          <w:color w:val="000000" w:themeColor="text1"/>
          <w:kern w:val="0"/>
          <w:sz w:val="28"/>
          <w:szCs w:val="28"/>
          <w14:ligatures w14:val="none"/>
        </w:rPr>
        <w:t xml:space="preserve">vate Blockchain) (Islam và cộng </w:t>
      </w:r>
      <w:r w:rsidRPr="0080689F">
        <w:rPr>
          <w:rFonts w:ascii="Times New Roman" w:eastAsia="Times New Roman" w:hAnsi="Times New Roman" w:cs="Times New Roman"/>
          <w:color w:val="000000" w:themeColor="text1"/>
          <w:kern w:val="0"/>
          <w:sz w:val="28"/>
          <w:szCs w:val="28"/>
          <w14:ligatures w14:val="none"/>
        </w:rPr>
        <w:t>sự, 2022).</w:t>
      </w:r>
    </w:p>
    <w:p w14:paraId="09C6E9F9" w14:textId="2CE18A47" w:rsidR="003B5CA5" w:rsidRPr="0080689F" w:rsidRDefault="003B5CA5" w:rsidP="0080689F">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xml:space="preserve">Tuy nhiên, dù là phương thức nào thì các giao dịch đều được bảo mật bằng mật mã thông qua khóa công khai (Public key) và khóa riêng tư (Private key). Khóa công khai được coi là “địa chỉ” chứa tài sản/dữ liệu kĩ thuật số trên mạng. </w:t>
      </w:r>
      <w:r w:rsidRPr="0080689F">
        <w:rPr>
          <w:rFonts w:ascii="Times New Roman" w:eastAsia="Times New Roman" w:hAnsi="Times New Roman" w:cs="Times New Roman"/>
          <w:color w:val="000000" w:themeColor="text1"/>
          <w:kern w:val="0"/>
          <w:sz w:val="28"/>
          <w:szCs w:val="28"/>
          <w14:ligatures w14:val="none"/>
        </w:rPr>
        <w:lastRenderedPageBreak/>
        <w:t>Khóa riêng tư là mã cung cấp cho chủ sở hữu quyền truy cập vào tài sản/dữ liệu tại địa chỉ được đại diện bởi khóa công khai tương ứng.</w:t>
      </w:r>
    </w:p>
    <w:p w14:paraId="2F0A9873" w14:textId="760ED7D8" w:rsidR="003B5CA5" w:rsidRPr="0080689F" w:rsidRDefault="003B5CA5" w:rsidP="00ED2EA5">
      <w:pPr>
        <w:ind w:firstLine="709"/>
        <w:contextualSpacing/>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Khi một giao dịch được khởi tạo, nó được truyền đi trên mạng tới tất cả các nút hoặc các máy tính có tham gia. Các nút xác nhận việc chấp nhận trên khối đó bằng cách sử dụng hàm băm của chính nó như yếu tố đầu vào trong lúc vận hành nhằm tạo ra khối tiếp theo. Một hàm băm mật mã đại diện cho quá trình mà những người khai thác xác minh và đánh dấu thời gian giao dịch. Ngoài ra, hàm băm ở từng khối chứa các thông tin tham chiếu từ các khối đóng vai trò “khối mẹ” trước đó, cây nhị phân Merkle là hàm băm mật mã của tất cả các giao dịch liên quan đến khối hiện hà</w:t>
      </w:r>
      <w:r w:rsidR="00ED2EA5">
        <w:rPr>
          <w:rFonts w:ascii="Times New Roman" w:eastAsia="Times New Roman" w:hAnsi="Times New Roman" w:cs="Times New Roman"/>
          <w:color w:val="000000" w:themeColor="text1"/>
          <w:kern w:val="0"/>
          <w:sz w:val="28"/>
          <w:szCs w:val="28"/>
          <w14:ligatures w14:val="none"/>
        </w:rPr>
        <w:t>nh</w:t>
      </w:r>
      <w:r w:rsidR="00DA096E">
        <w:rPr>
          <w:rFonts w:ascii="Times New Roman" w:eastAsia="Times New Roman" w:hAnsi="Times New Roman" w:cs="Times New Roman"/>
          <w:color w:val="000000" w:themeColor="text1"/>
          <w:kern w:val="0"/>
          <w:sz w:val="28"/>
          <w:szCs w:val="28"/>
          <w14:ligatures w14:val="none"/>
        </w:rPr>
        <w:t>.</w:t>
      </w:r>
    </w:p>
    <w:p w14:paraId="448746F3" w14:textId="467EA73A" w:rsidR="003B5CA5" w:rsidRPr="0080689F" w:rsidRDefault="003B5CA5" w:rsidP="00ED2EA5">
      <w:pPr>
        <w:ind w:firstLine="709"/>
        <w:contextualSpacing/>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Các bản ghi được đánh dấu thời gian sẽ hiển thị theo cách tuần tự cho tất cả các bên tham gia trên mạng với những mức độ truy cập thích hợp. Thời gian cần thiết để xác minh và ghi lại một giao dịch theo các phương thức vận hành là khác nhau và tùy thuộc vào quy trình được sử dụng. Mô phỏng cấu trúc vận hành của Blockchain theo Hình 3 và minh họa một giao dịch được thực hiện trên nền tảng Blockchain theo Hình 4.</w:t>
      </w:r>
    </w:p>
    <w:p w14:paraId="14B9A395" w14:textId="752E0138" w:rsidR="003B5CA5" w:rsidRPr="0080689F" w:rsidRDefault="003B5CA5" w:rsidP="00ED2EA5">
      <w:pPr>
        <w:ind w:firstLine="709"/>
        <w:jc w:val="center"/>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Hình 4: Minh họa một giao dịch được thực hiện trên nền tảng Blockchain</w:t>
      </w:r>
      <w:r w:rsidRPr="0080689F">
        <w:rPr>
          <w:rFonts w:ascii="Times New Roman" w:eastAsia="Times New Roman" w:hAnsi="Times New Roman" w:cs="Times New Roman"/>
          <w:b/>
          <w:bCs/>
          <w:color w:val="000000" w:themeColor="text1"/>
          <w:kern w:val="0"/>
          <w:sz w:val="28"/>
          <w:szCs w:val="28"/>
          <w14:ligatures w14:val="none"/>
        </w:rPr>
        <w:br/>
      </w:r>
      <w:r w:rsidRPr="0080689F">
        <w:rPr>
          <w:rFonts w:ascii="Times New Roman" w:eastAsia="Times New Roman" w:hAnsi="Times New Roman" w:cs="Times New Roman"/>
          <w:b/>
          <w:bCs/>
          <w:color w:val="000000" w:themeColor="text1"/>
          <w:kern w:val="0"/>
          <w:sz w:val="28"/>
          <w:szCs w:val="28"/>
          <w14:ligatures w14:val="none"/>
        </w:rPr>
        <w:br/>
      </w:r>
      <w:r w:rsidRPr="0080689F">
        <w:rPr>
          <w:rFonts w:ascii="Times New Roman" w:eastAsia="Times New Roman" w:hAnsi="Times New Roman" w:cs="Times New Roman"/>
          <w:b/>
          <w:bCs/>
          <w:noProof/>
          <w:color w:val="000000" w:themeColor="text1"/>
          <w:kern w:val="0"/>
          <w:sz w:val="28"/>
          <w:szCs w:val="28"/>
          <w14:ligatures w14:val="none"/>
        </w:rPr>
        <w:drawing>
          <wp:inline distT="0" distB="0" distL="0" distR="0" wp14:anchorId="2AB8E16A" wp14:editId="11AC7681">
            <wp:extent cx="4171950" cy="2286000"/>
            <wp:effectExtent l="0" t="0" r="0" b="0"/>
            <wp:docPr id="39840382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171950" cy="2286000"/>
                    </a:xfrm>
                    <a:prstGeom prst="rect">
                      <a:avLst/>
                    </a:prstGeom>
                    <a:noFill/>
                    <a:ln>
                      <a:noFill/>
                    </a:ln>
                  </pic:spPr>
                </pic:pic>
              </a:graphicData>
            </a:graphic>
          </wp:inline>
        </w:drawing>
      </w:r>
    </w:p>
    <w:p w14:paraId="30C553A9"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Nguồn: Garg (2023)</w:t>
      </w:r>
    </w:p>
    <w:p w14:paraId="1D274DA4" w14:textId="77777777"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br/>
      </w:r>
      <w:r w:rsidRPr="0080689F">
        <w:rPr>
          <w:rFonts w:ascii="Times New Roman" w:eastAsia="Times New Roman" w:hAnsi="Times New Roman" w:cs="Times New Roman"/>
          <w:i/>
          <w:iCs/>
          <w:color w:val="000000" w:themeColor="text1"/>
          <w:kern w:val="0"/>
          <w:sz w:val="28"/>
          <w:szCs w:val="28"/>
          <w14:ligatures w14:val="none"/>
        </w:rPr>
        <w:t>Đặc điểm của Blockchain: </w:t>
      </w:r>
      <w:r w:rsidRPr="0080689F">
        <w:rPr>
          <w:rFonts w:ascii="Times New Roman" w:eastAsia="Times New Roman" w:hAnsi="Times New Roman" w:cs="Times New Roman"/>
          <w:color w:val="000000" w:themeColor="text1"/>
          <w:kern w:val="0"/>
          <w:sz w:val="28"/>
          <w:szCs w:val="28"/>
          <w14:ligatures w14:val="none"/>
        </w:rPr>
        <w:t>Công nghệ Blockchain có nhiều ứng dụng bởi những ưu thế về đặc điểm chính vượt trội (Garg, 2023; Habib và cộng sự, 2022; Liu và cộng sự, 2019; Patel và cộng sự, 2022) như sau:</w:t>
      </w:r>
      <w:r w:rsidRPr="0080689F">
        <w:rPr>
          <w:rFonts w:ascii="Times New Roman" w:eastAsia="Times New Roman" w:hAnsi="Times New Roman" w:cs="Times New Roman"/>
          <w:color w:val="000000" w:themeColor="text1"/>
          <w:kern w:val="0"/>
          <w:sz w:val="28"/>
          <w:szCs w:val="28"/>
          <w14:ligatures w14:val="none"/>
        </w:rPr>
        <w:br/>
        <w:t> </w:t>
      </w:r>
    </w:p>
    <w:p w14:paraId="07DA5EDA" w14:textId="19F88946"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lastRenderedPageBreak/>
        <w:t>- Tính ẩn danh: Mỗi người dùng có thể giao dịch trong mạng lưới Blockchain bằng địa chỉ đã được tạo, địa chỉ này không tiết lộ danh tính thực của người dùng.</w:t>
      </w:r>
    </w:p>
    <w:p w14:paraId="5F75959A" w14:textId="7DF5E094"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Tính phân tán: Trong cùng một mạng lưới Blockchain, các giao dịch được xác thực không cần thiết phải có một cơ quan tập trung. Các thuật toán đồng thuận có tác dụng duy trì tính nhất quán của dữ liệu trong mạng lưới Blockchain dưới hình thức phân tán.</w:t>
      </w:r>
    </w:p>
    <w:p w14:paraId="3CF92EEE" w14:textId="38AA5C28"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Tính ổn định, chắc chắn: Không thể xóa hoặc khôi phục giao dịch sau khi nó được thêm vào Blockchain. Giao dịch được xác thực nhanh chóng, đối với các giao dịch không hợp lệ sẽ không được xác nhận bởi những người tham gia trên cùng một mạng lưới. Cũng vì đặc điểm này mà các khối chứa giao dịch không hợp lệ có thể được phát hiện ngay lập tức.</w:t>
      </w:r>
    </w:p>
    <w:p w14:paraId="3E8A2F36" w14:textId="23B1EDB2"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Tính kiểm tra và truy vết: Bất kì giao dịch nào cũng phải tham chiếu đến một số giao dịch chưa được sử dụng trước đó theo nguyên tắc Mô hình đầu ra giao dịch chưa thực hiện (Unspent Transaction Output - UTXO), do đó, hoàn toàn có thể lưu vết và truy xuất nguồn gốc của dữ liệu trên hệ thống kịp thời, nhanh chóng và chính xác.</w:t>
      </w:r>
    </w:p>
    <w:p w14:paraId="564200C9" w14:textId="0976C749"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2.2. Hợp đồng thông minh trên nền tảng công nghệ Blockchain</w:t>
      </w:r>
    </w:p>
    <w:p w14:paraId="3D24F483" w14:textId="0B68127D"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i/>
          <w:iCs/>
          <w:color w:val="000000" w:themeColor="text1"/>
          <w:kern w:val="0"/>
          <w:sz w:val="28"/>
          <w:szCs w:val="28"/>
          <w14:ligatures w14:val="none"/>
        </w:rPr>
        <w:t>2.2.1. Khái niệm </w:t>
      </w:r>
    </w:p>
    <w:p w14:paraId="4DC52918" w14:textId="5E13C851"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Tương tự như Blockchain, khái niệm về “Hợp đồng thông minh” cũng được nhiều tác giả nghiên cứu đưa ra. Theo Rozario và Vasarhelyi (2018), thuật ngữ hợp đồng thông minh lần đầu tiên được giới thiệu bởi Szabo vào năm 1994. Szabo cho rằng, hợp đồng thông minh “là một giao thức giao dịch được máy tính hóa nhằm thực hiện các điều khoản của hợp đồng”. Một cách hình tượng hơn, “Hợp đồng thông minh đơn thuần giống như các “kiện hàng” mà hàng hóa chính là các mã dữ liệu được đóng gói, sao chép các điều khoản của hợp đồng thực tế trên thế giới và chúng được thực hiện thông qua miền kĩ thuật số” (Taherdoost, 2023).</w:t>
      </w:r>
    </w:p>
    <w:p w14:paraId="1FC65FF4" w14:textId="520A1952"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Tuy nhiên, định nghĩa về hợp đồng thông minh liên quan đến công nghệ Blockchain như sau: “Hợp đồng thông minh là những hợp đồng được viết bằng mã máy tính và vận hành trên nền tảng công nghệ Blockchain hay sổ cái phân tán” (Gates, 2017).</w:t>
      </w:r>
    </w:p>
    <w:p w14:paraId="185BCC24" w14:textId="4F9E2178"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i/>
          <w:iCs/>
          <w:color w:val="000000" w:themeColor="text1"/>
          <w:kern w:val="0"/>
          <w:sz w:val="28"/>
          <w:szCs w:val="28"/>
          <w14:ligatures w14:val="none"/>
        </w:rPr>
        <w:t>2.2.2. Vận hành và đặc tính của hợp đồng thông minh trên nền tảng Blockchain</w:t>
      </w:r>
    </w:p>
    <w:p w14:paraId="14B332E9" w14:textId="74F8A9EA"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lastRenderedPageBreak/>
        <w:t>Như mô tả ở phần khái niệm, hợp đồng thông minh thực ra là một hợp đồng kĩ thuật số chứa mã bảo mật của công nghệ Blockchain. Nó chứa thông tin chi tiết và các quyền thực thi được viết bằng các đoạn mã chuyên dụng yêu cầu một chuỗi các sự kiện hay hành động được diễn ra một cách chính xác theo thỏa thuận được đề cập trong hợp đồng thông minh. Bên cạnh đó, nó cũng có thể chứa các mã lệnh ràng buộc về thời gian theo thỏa thuận. Mọi hợp đồng thông minh đều có địa chỉ chính nó trên nền tảng Blockchain. Hợp đồng này có thể liên kết hay tương tác với hợp đồng khác bằng cách sử dụng địa chỉ của nhau trong trường hợp các hợp đồng thông minh đã được kích hoạt trên mạng lưới Blockchain. Cách vận hành của hợp đồng thông minh khá đơn giản. Chúng được thực hiện dựa trên cơ sở câu lệnh Nếu - Thì. Chẳng hạn: Nếu Jane chuyển đối tượng cụ thể nào đó cho John thì tiền mã hóa sẽ được chuyển trả cho Jane hoặc là nếu Việt hoàn thành công việc giao kết với Nam thì tiền Bitcoin sẽ được chuyển vào ví tiền mã hóa của Việt theo giao ước trong hợp đồng.</w:t>
      </w:r>
    </w:p>
    <w:p w14:paraId="39B4C01B" w14:textId="1D839070"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Lưu ý rằng, có thể nhúng mã lệnh ràng buộc về thời gian trong hợp đồng thông minh. Điều này giúp thiết lập các điều kiện cần phải được thực hiện nhằm làm cho các điều khoản thỏa thuận trong hợp đồng được thực thi đầy đủ, chính xác và kịp thời. Ngoài ra, các mã câu lệnh sẽ không bị giới hạn về các điều kiện Nếu - Thì được dùng để đưa vào mỗi hợp đồng thông minh. (Hình 5)</w:t>
      </w:r>
    </w:p>
    <w:p w14:paraId="663A8CC5" w14:textId="77777777" w:rsidR="003B5CA5" w:rsidRPr="0080689F" w:rsidRDefault="003B5CA5" w:rsidP="00ED2EA5">
      <w:pPr>
        <w:ind w:firstLine="709"/>
        <w:jc w:val="center"/>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Hình 5: Mô phỏng vận hành của hợp đồng thông minh bằng công nghệ Blockchain</w:t>
      </w:r>
    </w:p>
    <w:p w14:paraId="4009B8B6" w14:textId="77777777" w:rsidR="009D5CA9"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br/>
      </w:r>
      <w:r w:rsidRPr="0080689F">
        <w:rPr>
          <w:rFonts w:ascii="Times New Roman" w:eastAsia="Times New Roman" w:hAnsi="Times New Roman" w:cs="Times New Roman"/>
          <w:b/>
          <w:bCs/>
          <w:i/>
          <w:iCs/>
          <w:noProof/>
          <w:color w:val="000000" w:themeColor="text1"/>
          <w:kern w:val="0"/>
          <w:sz w:val="28"/>
          <w:szCs w:val="28"/>
          <w14:ligatures w14:val="none"/>
        </w:rPr>
        <w:drawing>
          <wp:inline distT="0" distB="0" distL="0" distR="0" wp14:anchorId="204AE1EC" wp14:editId="73C9D0E8">
            <wp:extent cx="5943600" cy="2390140"/>
            <wp:effectExtent l="0" t="0" r="0" b="0"/>
            <wp:docPr id="5509983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943600" cy="2390140"/>
                    </a:xfrm>
                    <a:prstGeom prst="rect">
                      <a:avLst/>
                    </a:prstGeom>
                    <a:noFill/>
                    <a:ln>
                      <a:noFill/>
                    </a:ln>
                  </pic:spPr>
                </pic:pic>
              </a:graphicData>
            </a:graphic>
          </wp:inline>
        </w:drawing>
      </w:r>
      <w:r w:rsidRPr="0080689F">
        <w:rPr>
          <w:rFonts w:ascii="Times New Roman" w:eastAsia="Times New Roman" w:hAnsi="Times New Roman" w:cs="Times New Roman"/>
          <w:color w:val="000000" w:themeColor="text1"/>
          <w:kern w:val="0"/>
          <w:sz w:val="28"/>
          <w:szCs w:val="28"/>
          <w14:ligatures w14:val="none"/>
        </w:rPr>
        <w:br/>
      </w:r>
      <w:r w:rsidRPr="0080689F">
        <w:rPr>
          <w:rFonts w:ascii="Times New Roman" w:eastAsia="Times New Roman" w:hAnsi="Times New Roman" w:cs="Times New Roman"/>
          <w:i/>
          <w:iCs/>
          <w:color w:val="000000" w:themeColor="text1"/>
          <w:kern w:val="0"/>
          <w:sz w:val="28"/>
          <w:szCs w:val="28"/>
          <w14:ligatures w14:val="none"/>
        </w:rPr>
        <w:t>Nguồn: Parikshit (2022)</w:t>
      </w:r>
    </w:p>
    <w:p w14:paraId="37B4D683" w14:textId="2C116A12" w:rsidR="003B5CA5" w:rsidRPr="0080689F"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Do hoạt động trên nền tảng là công nghệ Blockchain, ngoài những tính năng chính</w:t>
      </w:r>
      <w:r w:rsidR="009D5CA9">
        <w:rPr>
          <w:rFonts w:ascii="Times New Roman" w:eastAsia="Times New Roman" w:hAnsi="Times New Roman" w:cs="Times New Roman"/>
          <w:color w:val="000000" w:themeColor="text1"/>
          <w:kern w:val="0"/>
          <w:sz w:val="28"/>
          <w:szCs w:val="28"/>
          <w14:ligatures w14:val="none"/>
        </w:rPr>
        <w:t xml:space="preserve"> </w:t>
      </w:r>
      <w:r w:rsidRPr="0080689F">
        <w:rPr>
          <w:rFonts w:ascii="Times New Roman" w:eastAsia="Times New Roman" w:hAnsi="Times New Roman" w:cs="Times New Roman"/>
          <w:color w:val="000000" w:themeColor="text1"/>
          <w:kern w:val="0"/>
          <w:sz w:val="28"/>
          <w:szCs w:val="28"/>
          <w14:ligatures w14:val="none"/>
        </w:rPr>
        <w:t xml:space="preserve">mà công nghệ Blockchain đã có như tính ẩn danh, tính phân tán, tính ổn </w:t>
      </w:r>
      <w:r w:rsidRPr="0080689F">
        <w:rPr>
          <w:rFonts w:ascii="Times New Roman" w:eastAsia="Times New Roman" w:hAnsi="Times New Roman" w:cs="Times New Roman"/>
          <w:color w:val="000000" w:themeColor="text1"/>
          <w:kern w:val="0"/>
          <w:sz w:val="28"/>
          <w:szCs w:val="28"/>
          <w14:ligatures w14:val="none"/>
        </w:rPr>
        <w:lastRenderedPageBreak/>
        <w:t>định, chắc chắn và tính kiểm tra truy vết thì khi hợp đồng thông minh còn có những đặc tính nổi trội của riêng loại hình này như nghiên cứu của Parikshit (2022):</w:t>
      </w:r>
    </w:p>
    <w:p w14:paraId="2F96249A" w14:textId="47D98388"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Tính cố định: Hợp đồng thông minh chỉ thực hiện các chức năng mà chúng được thiết kế khi và chỉ khi các điều kiện bắt buộc được đáp ứng. Kết quả cuối cùng sẽ không thay đổi dù cho bất kể ai thực hiện hợp đồng thông minh.</w:t>
      </w:r>
    </w:p>
    <w:p w14:paraId="2E06E696" w14:textId="240A2E4C"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Tính tùy chỉnh: Hợp đồng thông minh có khả năng được sửa đổi hay có thể tùy chỉnh nhưng cần phải thực hiện trước khi kích hoạt.</w:t>
      </w:r>
    </w:p>
    <w:p w14:paraId="59C8DCA3" w14:textId="2D13DE48"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Tính năng tự xác minh: Đây là tính năng tự xác minh do có khả năng tự động.</w:t>
      </w:r>
    </w:p>
    <w:p w14:paraId="09C53262" w14:textId="219B0570"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Tính năng tự thực thi: Những điều kiện tự thực thi khi các điều kiện và quy tắc được đáp ứng ở tất cả các giai đoạn.</w:t>
      </w:r>
    </w:p>
    <w:p w14:paraId="6D2A92EB"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Với những tính năng kể trên, một số nghiên cứu có liên quan đến hợp động thông minh trên nền tảng Blockchain theo thống kê của Taherdoost (2023) theo Hình 6 và Hình 7. </w:t>
      </w:r>
    </w:p>
    <w:p w14:paraId="341BA34C" w14:textId="6919ED94" w:rsidR="003B5CA5" w:rsidRPr="0080689F" w:rsidRDefault="003B5CA5" w:rsidP="009D5CA9">
      <w:pPr>
        <w:ind w:firstLine="709"/>
        <w:jc w:val="center"/>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Hình 6: Một số nghiên cứu liên quan đến hợp đồng thông minh trên nền tảng Blockchain</w:t>
      </w:r>
      <w:r w:rsidR="00ED2EA5">
        <w:rPr>
          <w:rFonts w:ascii="Times New Roman" w:eastAsia="Times New Roman" w:hAnsi="Times New Roman" w:cs="Times New Roman"/>
          <w:color w:val="000000" w:themeColor="text1"/>
          <w:kern w:val="0"/>
          <w:sz w:val="28"/>
          <w:szCs w:val="28"/>
          <w14:ligatures w14:val="none"/>
        </w:rPr>
        <w:t xml:space="preserve"> </w:t>
      </w:r>
      <w:r w:rsidRPr="0080689F">
        <w:rPr>
          <w:rFonts w:ascii="Times New Roman" w:eastAsia="Times New Roman" w:hAnsi="Times New Roman" w:cs="Times New Roman"/>
          <w:b/>
          <w:bCs/>
          <w:color w:val="000000" w:themeColor="text1"/>
          <w:kern w:val="0"/>
          <w:sz w:val="28"/>
          <w:szCs w:val="28"/>
          <w14:ligatures w14:val="none"/>
        </w:rPr>
        <w:t>giai đoạn 2012 - 2022</w:t>
      </w:r>
      <w:r w:rsidRPr="0080689F">
        <w:rPr>
          <w:rFonts w:ascii="Times New Roman" w:eastAsia="Times New Roman" w:hAnsi="Times New Roman" w:cs="Times New Roman"/>
          <w:b/>
          <w:bCs/>
          <w:color w:val="000000" w:themeColor="text1"/>
          <w:kern w:val="0"/>
          <w:sz w:val="28"/>
          <w:szCs w:val="28"/>
          <w14:ligatures w14:val="none"/>
        </w:rPr>
        <w:br/>
      </w:r>
      <w:r w:rsidRPr="0080689F">
        <w:rPr>
          <w:rFonts w:ascii="Times New Roman" w:eastAsia="Times New Roman" w:hAnsi="Times New Roman" w:cs="Times New Roman"/>
          <w:b/>
          <w:bCs/>
          <w:color w:val="000000" w:themeColor="text1"/>
          <w:kern w:val="0"/>
          <w:sz w:val="28"/>
          <w:szCs w:val="28"/>
          <w14:ligatures w14:val="none"/>
        </w:rPr>
        <w:br/>
      </w:r>
      <w:r w:rsidRPr="0080689F">
        <w:rPr>
          <w:rFonts w:ascii="Times New Roman" w:eastAsia="Times New Roman" w:hAnsi="Times New Roman" w:cs="Times New Roman"/>
          <w:b/>
          <w:bCs/>
          <w:noProof/>
          <w:color w:val="000000" w:themeColor="text1"/>
          <w:kern w:val="0"/>
          <w:sz w:val="28"/>
          <w:szCs w:val="28"/>
          <w14:ligatures w14:val="none"/>
        </w:rPr>
        <w:drawing>
          <wp:inline distT="0" distB="0" distL="0" distR="0" wp14:anchorId="20603AA3" wp14:editId="26B6377D">
            <wp:extent cx="3095625" cy="3590925"/>
            <wp:effectExtent l="0" t="0" r="9525" b="9525"/>
            <wp:docPr id="10821723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095625" cy="3590925"/>
                    </a:xfrm>
                    <a:prstGeom prst="rect">
                      <a:avLst/>
                    </a:prstGeom>
                    <a:noFill/>
                    <a:ln>
                      <a:noFill/>
                    </a:ln>
                  </pic:spPr>
                </pic:pic>
              </a:graphicData>
            </a:graphic>
          </wp:inline>
        </w:drawing>
      </w:r>
      <w:r w:rsidRPr="0080689F">
        <w:rPr>
          <w:rFonts w:ascii="Times New Roman" w:eastAsia="Times New Roman" w:hAnsi="Times New Roman" w:cs="Times New Roman"/>
          <w:i/>
          <w:iCs/>
          <w:color w:val="000000" w:themeColor="text1"/>
          <w:kern w:val="0"/>
          <w:sz w:val="28"/>
          <w:szCs w:val="28"/>
          <w14:ligatures w14:val="none"/>
        </w:rPr>
        <w:t>Nguồn: Taherdoost (2023)</w:t>
      </w:r>
      <w:r w:rsidRPr="0080689F">
        <w:rPr>
          <w:rFonts w:ascii="Times New Roman" w:eastAsia="Times New Roman" w:hAnsi="Times New Roman" w:cs="Times New Roman"/>
          <w:color w:val="000000" w:themeColor="text1"/>
          <w:kern w:val="0"/>
          <w:sz w:val="28"/>
          <w:szCs w:val="28"/>
          <w14:ligatures w14:val="none"/>
        </w:rPr>
        <w:br/>
      </w:r>
      <w:r w:rsidRPr="0080689F">
        <w:rPr>
          <w:rFonts w:ascii="Times New Roman" w:eastAsia="Times New Roman" w:hAnsi="Times New Roman" w:cs="Times New Roman"/>
          <w:b/>
          <w:bCs/>
          <w:color w:val="000000" w:themeColor="text1"/>
          <w:kern w:val="0"/>
          <w:sz w:val="28"/>
          <w:szCs w:val="28"/>
          <w14:ligatures w14:val="none"/>
        </w:rPr>
        <w:lastRenderedPageBreak/>
        <w:t>Hình 7: Số lượng các bài báo nghiên cứu liên quan đến hợp đồng thông minh trên nền tảng Blockchain giai đoạn 2012 - 2022</w:t>
      </w:r>
    </w:p>
    <w:p w14:paraId="23547B32"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w:t>
      </w:r>
    </w:p>
    <w:p w14:paraId="7B06E5CE" w14:textId="77777777" w:rsidR="003B5CA5" w:rsidRPr="0080689F" w:rsidRDefault="003B5CA5" w:rsidP="00ED2EA5">
      <w:pPr>
        <w:ind w:firstLine="709"/>
        <w:jc w:val="center"/>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i/>
          <w:iCs/>
          <w:noProof/>
          <w:color w:val="000000" w:themeColor="text1"/>
          <w:kern w:val="0"/>
          <w:sz w:val="28"/>
          <w:szCs w:val="28"/>
          <w14:ligatures w14:val="none"/>
        </w:rPr>
        <w:drawing>
          <wp:inline distT="0" distB="0" distL="0" distR="0" wp14:anchorId="377B79B2" wp14:editId="16F87FDA">
            <wp:extent cx="3095625" cy="1781175"/>
            <wp:effectExtent l="0" t="0" r="9525" b="9525"/>
            <wp:docPr id="144713018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95625" cy="1781175"/>
                    </a:xfrm>
                    <a:prstGeom prst="rect">
                      <a:avLst/>
                    </a:prstGeom>
                    <a:noFill/>
                    <a:ln>
                      <a:noFill/>
                    </a:ln>
                  </pic:spPr>
                </pic:pic>
              </a:graphicData>
            </a:graphic>
          </wp:inline>
        </w:drawing>
      </w:r>
    </w:p>
    <w:p w14:paraId="096A8C2C" w14:textId="28F34CAF" w:rsidR="003B5CA5" w:rsidRPr="0080689F"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Nguồn: Taherdoost (2023)</w:t>
      </w:r>
    </w:p>
    <w:p w14:paraId="57903CAA" w14:textId="3F37C7B3"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3. Ứng dụng hợp đồng thông minh trên nền tảng Blockchain, những vấn đề cần quan tâm và gợi ý cho công tác kiểm toán nội bộ tại Việt Nam</w:t>
      </w:r>
    </w:p>
    <w:p w14:paraId="537426F0" w14:textId="227D37DD"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3.1. Ứng dụng hợp đồng thông minh trong hoạt động kiểm toán nội bộ trên nền tảng Blockchain</w:t>
      </w:r>
    </w:p>
    <w:p w14:paraId="2A06B595" w14:textId="56C02683"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Đối tượng tham gia vào việc ứng dụng hợp đồng thông minh trên nền tảng Blockchain để kiểm toán bao gồm: Kiểm toán độc lập và thanh tra viên về kiểm toán (Rozario và Vasarhelyi, 2018). Tuy nhiên, do thủ tục kiểm toán khá tương đồng và có thể được sử dụng như nhau đối với kiểm toán nội bộ nên tác giả đồng nhất vai trò trong quy trình ứng dụng hợp đồng thông minh trên nền tảng Blockchain để kiểm toán của kiểm toán nội bộ, kiểm toán độc lập và thanh tra viên về thủ tục kiểm toán thông minh là như nhau. </w:t>
      </w:r>
    </w:p>
    <w:p w14:paraId="5E70DA49" w14:textId="1B069369"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Chẳng hạn, để phát hiện và kiểm soát rủi ro về việc vận chuyển và ghi nhận doanh thu hàng hóa, kiểm toán viên nội bộ sẽ phân tích và lập trình các thủ tục kiểm toán theo nguyên tắc “Nếu - Thì”. Sau đó, lập trình này được nhúng vào một quy trình phân tích thông minh được tải lên Blockchain. </w:t>
      </w:r>
    </w:p>
    <w:p w14:paraId="2A731576" w14:textId="7046B988"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xml:space="preserve">Quy trình phân tích thông minh để kiểm tra rủi ro này bao gồm: (i) Quy tắc để dự đoán doanh số hằng tuần hiện hành dựa trên mô hình hồi quy đa biến bằng việc kết hợp các thông số tài chính và phi tài chính như: Doanh số hằng tuần, vị trí và dữ liệu về nhiệt độ từ những tuần trước. Mô hình hồi quy đa biến sẽ được xây dựng và kiểm tra lại vì sẽ thu thập được nhiều dữ liệu hơn mỗi khi kiểm toán viên nội bộ điều chỉnh thủ tục kiểm toán thông minh; (ii) Doanh số dự đoán từ hồi </w:t>
      </w:r>
      <w:r w:rsidRPr="0080689F">
        <w:rPr>
          <w:rFonts w:ascii="Times New Roman" w:eastAsia="Times New Roman" w:hAnsi="Times New Roman" w:cs="Times New Roman"/>
          <w:color w:val="000000" w:themeColor="text1"/>
          <w:kern w:val="0"/>
          <w:sz w:val="28"/>
          <w:szCs w:val="28"/>
          <w14:ligatures w14:val="none"/>
        </w:rPr>
        <w:lastRenderedPageBreak/>
        <w:t>quy đa biến sau đó có thể được sử dụng làm tiêu chuẩn để so sánh doanh số bán hàng thực tế. Theo nguyên tắc lập trình “Nếu - Thì”: Nếu doanh số bán hàng thực tế rơi vào ngưỡng điều kiện được thiết lập sẵn (chẳng hạn, bằng hoặc lớn hơn 5% tổng mức trọng yếu) thì không cần thực hiện thêm các thủ tục kiểm toán nào nữa và kiểm toán viên nội bộ có thể xác định được rủi ro trọng yếu của sai sót trên tài khoản doanh thu. Nếu đầu vào doanh số bán hàng thực tế không khớp với các quy tắc được lập trình, một thông báo lỗi sẽ được hiển thị yêu cầu cần phải điều tra thêm. Sau đó, kiểm toán viên nội bộ có thể đề xuất các giải pháp thay thế để xử lí các thông báo lỗi này. Giải pháp thay thế này đòi hỏi phải tạo ra một thủ tục kiểm toán thông minh tiếp theo tương tác với quy trình phân tích thông minh nói trên. Các quy tắc được lập trình trong thực nghiệm kiểm toán thông minh giống như các “bộ lọc” rủi ro nhằm tách biệt các giao dịch có sai sót/lỗi mà kiểm toán viên cần chú ý. Chẳng hạn, điều kiện “Nếu - Thì” được lập trình trong thủ tục kiểm toán thông minh có thể cho biết liệu doanh số bán hàng tăng lên do tính thời vụ hay vì lí do khác. Nó có thể cho kết quả tách biệt giữa các giao dịch bán hàng tăng lên vì lí do rõ ràng, hợp lí so với những giao dịch tăng lên vì lí do không thể xác minh được hoặc có khả năng gian lận/sai sót. Đương nhiên trước kết quả hỗ trợ nhận diện rủi ro này, các kiểm toán viên nội bộ cần thực hiện các thủ tục điều tra, xác thực thêm.</w:t>
      </w:r>
    </w:p>
    <w:p w14:paraId="1972309B" w14:textId="64487749" w:rsidR="00ED2EA5" w:rsidRPr="009D5CA9"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Với hợp đồng thông minh trên nền tảng Blockchain, kiểm toán viên nội bộ hoàn toàn có khả năng kiểm tra kết quả của thủ tục kiểm toán phân tích thông minh nói trên một cách chủ động vì họ có thể truy cập và biết được tình trạng của các giao dịch thỏa mãn thủ tục kiểm toán gần như tức thì và gắn với thời gian thực tế phát sinh. (Hình 8)</w:t>
      </w:r>
    </w:p>
    <w:p w14:paraId="0A322FA3" w14:textId="77777777" w:rsidR="00ED2EA5" w:rsidRDefault="00ED2EA5" w:rsidP="00ED2EA5">
      <w:pPr>
        <w:ind w:firstLine="709"/>
        <w:jc w:val="center"/>
        <w:rPr>
          <w:rFonts w:ascii="Times New Roman" w:eastAsia="Times New Roman" w:hAnsi="Times New Roman" w:cs="Times New Roman"/>
          <w:b/>
          <w:bCs/>
          <w:color w:val="000000" w:themeColor="text1"/>
          <w:kern w:val="0"/>
          <w:sz w:val="28"/>
          <w:szCs w:val="28"/>
          <w14:ligatures w14:val="none"/>
        </w:rPr>
      </w:pPr>
    </w:p>
    <w:p w14:paraId="2044FD53" w14:textId="74054B99" w:rsidR="003B5CA5" w:rsidRPr="0080689F" w:rsidRDefault="003B5CA5" w:rsidP="00ED2EA5">
      <w:pPr>
        <w:ind w:firstLine="709"/>
        <w:jc w:val="center"/>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Hình 8: Mô tả thủ tục kiểm toán thông minh để giải quyết rủi ro có sai sót trọng yếu trong mua bán hàng</w:t>
      </w:r>
      <w:r w:rsidRPr="0080689F">
        <w:rPr>
          <w:rFonts w:ascii="Times New Roman" w:eastAsia="Times New Roman" w:hAnsi="Times New Roman" w:cs="Times New Roman"/>
          <w:b/>
          <w:bCs/>
          <w:color w:val="000000" w:themeColor="text1"/>
          <w:kern w:val="0"/>
          <w:sz w:val="28"/>
          <w:szCs w:val="28"/>
          <w14:ligatures w14:val="none"/>
        </w:rPr>
        <w:br/>
      </w:r>
      <w:r w:rsidRPr="0080689F">
        <w:rPr>
          <w:rFonts w:ascii="Times New Roman" w:eastAsia="Times New Roman" w:hAnsi="Times New Roman" w:cs="Times New Roman"/>
          <w:b/>
          <w:bCs/>
          <w:color w:val="000000" w:themeColor="text1"/>
          <w:kern w:val="0"/>
          <w:sz w:val="28"/>
          <w:szCs w:val="28"/>
          <w14:ligatures w14:val="none"/>
        </w:rPr>
        <w:br/>
      </w:r>
      <w:r w:rsidRPr="0080689F">
        <w:rPr>
          <w:rFonts w:ascii="Times New Roman" w:eastAsia="Times New Roman" w:hAnsi="Times New Roman" w:cs="Times New Roman"/>
          <w:b/>
          <w:bCs/>
          <w:noProof/>
          <w:color w:val="000000" w:themeColor="text1"/>
          <w:kern w:val="0"/>
          <w:sz w:val="28"/>
          <w:szCs w:val="28"/>
          <w14:ligatures w14:val="none"/>
        </w:rPr>
        <w:drawing>
          <wp:inline distT="0" distB="0" distL="0" distR="0" wp14:anchorId="564D8E08" wp14:editId="784EBFD0">
            <wp:extent cx="4229100" cy="1781175"/>
            <wp:effectExtent l="0" t="0" r="0" b="9525"/>
            <wp:docPr id="2930382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229100" cy="1781175"/>
                    </a:xfrm>
                    <a:prstGeom prst="rect">
                      <a:avLst/>
                    </a:prstGeom>
                    <a:noFill/>
                    <a:ln>
                      <a:noFill/>
                    </a:ln>
                  </pic:spPr>
                </pic:pic>
              </a:graphicData>
            </a:graphic>
          </wp:inline>
        </w:drawing>
      </w:r>
    </w:p>
    <w:p w14:paraId="7F8181C7" w14:textId="77777777" w:rsidR="009D5CA9"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lastRenderedPageBreak/>
        <w:t>Nguồn: Tác giả vẽ lại có điều chỉnh từ Rozario và Vasarhelyi (2018)</w:t>
      </w:r>
    </w:p>
    <w:p w14:paraId="3B7F93B5" w14:textId="265CB006" w:rsidR="003B5CA5" w:rsidRPr="0080689F" w:rsidRDefault="003B5CA5" w:rsidP="009D5CA9">
      <w:pPr>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br/>
        <w:t>Ngoài ra, kiểm toán viên còn có thể ứng dụng đặc tính hợp đồng thông minh trên nền tảng Blockchain để thực hiện công việc kiểm toán nội bộ trong hoạt động sản xuất, thương mại. Giả định rằng, người bán và người mua đã thống nhất theo các điều khoản hợp đồng bao gồm giá cả, số lượng, mô tả sản phẩm, điều kiện vận chuyển và thanh toán. Các điều khoản này sẽ được lập và được triển khai trên nền tảng Blockchain. Công nghệ Blockchain cung cấp cho người mua cơ hội kiểm tra trạng thái của các giao dịch bằng một hợp đồng thông minh và hợp đồng này có thể tự động xác minh chất lượng và vị trí của hàng hóa. Nếu vi phạm một quy tắc hoặc một số quy tắc được “nhúng” trong hợp đồng thông minh, thông báo lỗi sẽ được kích hoạt và không thể hoàn tất giao dịch. Lúc này, vi phạm sẽ phải được giải quyết bởi một người dùng, có thể là kiểm toán viên nội bộ hoặc người đầu mối quy trình kinh doanh nhằm xác minh tính hợp pháp của giao dịch. Ngoài ra, vi phạm có thể được giải quyết bằng một quy trình tự động. Ngược lại, nếu không có vi phạm, hợp đồng sẽ tự thực hiện khi hàng hóa đến nơi và việc thanh toán sẽ được diễn ra. (Hình 9)</w:t>
      </w:r>
    </w:p>
    <w:p w14:paraId="780EDE64" w14:textId="4805CBFA" w:rsidR="003B5CA5" w:rsidRPr="0080689F" w:rsidRDefault="003B5CA5" w:rsidP="00ED2EA5">
      <w:pPr>
        <w:ind w:firstLine="709"/>
        <w:jc w:val="center"/>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Hình 9: Mô tả hợp đồng thông minh mua bán hàng giữa người mua và người bán trong sản xuất, thương mại hàng hóa</w:t>
      </w:r>
      <w:r w:rsidRPr="0080689F">
        <w:rPr>
          <w:rFonts w:ascii="Times New Roman" w:eastAsia="Times New Roman" w:hAnsi="Times New Roman" w:cs="Times New Roman"/>
          <w:b/>
          <w:bCs/>
          <w:color w:val="000000" w:themeColor="text1"/>
          <w:kern w:val="0"/>
          <w:sz w:val="28"/>
          <w:szCs w:val="28"/>
          <w14:ligatures w14:val="none"/>
        </w:rPr>
        <w:br/>
      </w:r>
      <w:r w:rsidRPr="0080689F">
        <w:rPr>
          <w:rFonts w:ascii="Times New Roman" w:eastAsia="Times New Roman" w:hAnsi="Times New Roman" w:cs="Times New Roman"/>
          <w:b/>
          <w:bCs/>
          <w:color w:val="000000" w:themeColor="text1"/>
          <w:kern w:val="0"/>
          <w:sz w:val="28"/>
          <w:szCs w:val="28"/>
          <w14:ligatures w14:val="none"/>
        </w:rPr>
        <w:br/>
      </w:r>
      <w:r w:rsidRPr="0080689F">
        <w:rPr>
          <w:rFonts w:ascii="Times New Roman" w:eastAsia="Times New Roman" w:hAnsi="Times New Roman" w:cs="Times New Roman"/>
          <w:b/>
          <w:bCs/>
          <w:noProof/>
          <w:color w:val="000000" w:themeColor="text1"/>
          <w:kern w:val="0"/>
          <w:sz w:val="28"/>
          <w:szCs w:val="28"/>
          <w14:ligatures w14:val="none"/>
        </w:rPr>
        <w:drawing>
          <wp:inline distT="0" distB="0" distL="0" distR="0" wp14:anchorId="002198E2" wp14:editId="23F2D591">
            <wp:extent cx="4181475" cy="2114550"/>
            <wp:effectExtent l="0" t="0" r="9525" b="0"/>
            <wp:docPr id="36207582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181475" cy="2114550"/>
                    </a:xfrm>
                    <a:prstGeom prst="rect">
                      <a:avLst/>
                    </a:prstGeom>
                    <a:noFill/>
                    <a:ln>
                      <a:noFill/>
                    </a:ln>
                  </pic:spPr>
                </pic:pic>
              </a:graphicData>
            </a:graphic>
          </wp:inline>
        </w:drawing>
      </w:r>
    </w:p>
    <w:p w14:paraId="08FA3260" w14:textId="77777777" w:rsidR="009D5CA9" w:rsidRDefault="003B5CA5" w:rsidP="009D5CA9">
      <w:pPr>
        <w:ind w:firstLine="709"/>
        <w:jc w:val="center"/>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Nguồn: Rozario và Vasarhelyi (2018)</w:t>
      </w:r>
    </w:p>
    <w:p w14:paraId="7C1503D7" w14:textId="76FD16DD" w:rsidR="003B5CA5" w:rsidRPr="0080689F" w:rsidRDefault="003B5CA5" w:rsidP="009D5CA9">
      <w:pPr>
        <w:ind w:firstLine="851"/>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xml:space="preserve">Tại ngân hàng thương mại, một số nghiệp vụ có thể ứng dụng hợp đồng thông minh để thực hiện các chốt kiểm soát trong vận hành và quản lí rủi ro. Chẳng hạn, trong giao dịch nhận biết khách hàng (eKYC hoặc KYC tại quầy) có thể thiết lập chốt tự động kiểm soát các giấy tờ, chứng từ liên quan trong thủ tục mở tài khoản, kiểm tra các dấu hiệu về phòng, chống rửa tiền, các dịch vụ thu hộ, </w:t>
      </w:r>
      <w:r w:rsidRPr="0080689F">
        <w:rPr>
          <w:rFonts w:ascii="Times New Roman" w:eastAsia="Times New Roman" w:hAnsi="Times New Roman" w:cs="Times New Roman"/>
          <w:color w:val="000000" w:themeColor="text1"/>
          <w:kern w:val="0"/>
          <w:sz w:val="28"/>
          <w:szCs w:val="28"/>
          <w14:ligatures w14:val="none"/>
        </w:rPr>
        <w:lastRenderedPageBreak/>
        <w:t>chi hộ... Các câu lệnh “Nếu - Thì” sẽ được nhúng tự động vào các quy trình nghiệp vụ này, các điều khoản thỏa thuận giữa khách hàng, đối tác với ngân hàng sẽ được tự động hóa thực hiện nếu như tại các bước giao dịch thỏa mãn điều kiện giao ước lẫn quy định của pháp luật. Đối với hoạt động quản lí rủi ro, các hạn mức rủi ro được thiết lập thông qua hợp đồng thông minh. Từ đây nhà quản trị hoàn toàn có thể kiểm soát được việc tuân thủ hạn mức rủi ro cho các hoạt động kinh doanh như cấp tín dụng, hoạt động tự doanh, thậm chí các hạn mức phê duyệt được ủy quyền trên hệ thống đối với công tác phân công, phân cấp điều hành trong ngân hàng thương mại. Riêng đối với công tác kiểm toán nội bộ, các kiểm toán viên trong công tác giám sát từ xa có thể thiết lập các hợp đồng thông minh để phát hiện các ngưỡng cảnh báo về rủi ro tín dụng như các chỉ số về nợ quá hạn, nợ xấu, các khoản cấp tín dụng có vấn đề… Hoặc là trong quản lí rủi ro hoạt động, các chỉ báo về rủi ro chính (KRIs) sẽ được cập nhật liên tục, có tính xác thực cao và mang tính lưu vết chắc chắn như các giao dịch chuyển tiền, nhận dạng khách hàng, gian lận… Trong kiểm toán tài chính, kiểm toán viên có thể sử dụng hợp đồng thông minh để kiểm toán các khoản mục trọng yếu trên bảng cân đối kế toán, lưu chuyển tiền tệ... Đặc biệt, các ngân hàng có lượng dữ liệu càng lớn thì việc xử lí bằng hợp đồng thông minh càng thích hợp bởi tính cố định, tự xác minh, tự thực thi sẽ phát huy tối ưu trong nghiệp vụ kiểm toán. Đối với kiểm toán về đánh giá mức đủ vốn, đảm bảo an toàn hoạt động cho ngân hàng thương mại, các kiểm toán viên nội bộ có thể sử dụng hợp đồng thông minh để kiểm tra tính hợp lí, đầy đủ của việc phân bổ hạn mức tín dụng, phân loại hệ số rủi ro và xếp loại tài sản trong đo lường tính toán hệ số an toàn vốn (CAR), tính vốn kinh tế... Đặc biệt đối với nghiệp vụ kiểm toán liên tục, trong đó các hoạt động về thanh toán các nghiệp vụ tài chính phái sinh, các tài sản tài chính bao gồm cả tiền mã hóa (Cryptocurrency) đối với các quốc gia công nhận đây là tài sản, nếu ứng dụng hợp đồng thông minh sẽ dễ dàng kiểm soát toàn diện, chính xác các giao dịch cũng như kịp thời phát hiện và cảnh báo sớm các gian lận có thể xảy ra nhờ vào tính thực, ổn định và truy vết của công nghệ Blockchain (Hamdan và cộng sự, 2023). Các hợp đồng thông minh trên nền tảng Blockchain có thể làm tốt điều này một cách hiệu quả, nhanh chóng và minh bạch.</w:t>
      </w:r>
    </w:p>
    <w:p w14:paraId="4D4139BA" w14:textId="6D1D5C0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xml:space="preserve">Với ứng dụng hợp đồng thông minh trong hoạt động kiểm toán nội bộ trên nền tảng Blockchain, các ứng dụng đã và đang được vận hành như: ADA 1.0 (Audit Data Analytics), ADA 2.0, ADA 3.0 (Rozario và Vasarhelyi, 2018); tại các công ty kiểm toán lớn trong hệ thống Big Four như Deloitte, PwC, E&amp;Y, trong đó đi tiên phong nghiên cứu và triển khai công nghệ này là Deloitte vào năm 2017 </w:t>
      </w:r>
      <w:r w:rsidRPr="0080689F">
        <w:rPr>
          <w:rFonts w:ascii="Times New Roman" w:eastAsia="Times New Roman" w:hAnsi="Times New Roman" w:cs="Times New Roman"/>
          <w:color w:val="000000" w:themeColor="text1"/>
          <w:kern w:val="0"/>
          <w:sz w:val="28"/>
          <w:szCs w:val="28"/>
          <w14:ligatures w14:val="none"/>
        </w:rPr>
        <w:lastRenderedPageBreak/>
        <w:t>(Andrés và Lorca, 2021). Các công ty khác cung cấp dịch vụ kiểm toán này như Wolf và Company, Hacken…   </w:t>
      </w:r>
    </w:p>
    <w:p w14:paraId="5A5080B1" w14:textId="4A887E44"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3.2. Điều kiện ứng dụng, thuận lợi và thách thức </w:t>
      </w:r>
    </w:p>
    <w:p w14:paraId="5D65E442" w14:textId="28BA66DA"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i/>
          <w:iCs/>
          <w:color w:val="000000" w:themeColor="text1"/>
          <w:kern w:val="0"/>
          <w:sz w:val="28"/>
          <w:szCs w:val="28"/>
          <w14:ligatures w14:val="none"/>
        </w:rPr>
        <w:t>3.2.1. Điều kiện ứng dụng</w:t>
      </w:r>
    </w:p>
    <w:p w14:paraId="28F2AFA4" w14:textId="7F85C46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Để triển khai và vận hành công nghệ hợp đồng thông minh trên nền tảng Blockchain cần quan tâm đến ba vấn đề chính yếu sau:</w:t>
      </w:r>
    </w:p>
    <w:p w14:paraId="0148DD21" w14:textId="7E61B308"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Thứ nhất, </w:t>
      </w:r>
      <w:r w:rsidRPr="0080689F">
        <w:rPr>
          <w:rFonts w:ascii="Times New Roman" w:eastAsia="Times New Roman" w:hAnsi="Times New Roman" w:cs="Times New Roman"/>
          <w:color w:val="000000" w:themeColor="text1"/>
          <w:kern w:val="0"/>
          <w:sz w:val="28"/>
          <w:szCs w:val="28"/>
          <w14:ligatures w14:val="none"/>
        </w:rPr>
        <w:t>hệ thống quản lí dữ liệu chung của tổ chức, chẳng hạn đối với ngân hàng thương mại, cần quan tâm Core Banking có tương thích với các nền tảng mà công nghệ Blockchain có thể vận hành cơ chế hợp đồng thông minh hay không? Hiện tại, các nền tảng để triển khai hợp đồng thông minh bao gồm Ethereum, Hyperledger Fabric, NEM, STELLAR, Waves, Corda (Taherdoost, 2023). </w:t>
      </w:r>
    </w:p>
    <w:p w14:paraId="6357F774" w14:textId="78CD3805"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Thứ hai, </w:t>
      </w:r>
      <w:r w:rsidRPr="0080689F">
        <w:rPr>
          <w:rFonts w:ascii="Times New Roman" w:eastAsia="Times New Roman" w:hAnsi="Times New Roman" w:cs="Times New Roman"/>
          <w:color w:val="000000" w:themeColor="text1"/>
          <w:kern w:val="0"/>
          <w:sz w:val="28"/>
          <w:szCs w:val="28"/>
          <w14:ligatures w14:val="none"/>
        </w:rPr>
        <w:t>để vận hành hợp đồng thông minh trên nền tảng Blockchain, cần có người am hiểu về tính chất kĩ thuật cũng như viết các đoạn mã lệnh để đặt các chốt kiểm soát tương ứng hay thay đổi tùy chỉnh khi có bất kì sự thay đổi nào.</w:t>
      </w:r>
    </w:p>
    <w:p w14:paraId="40BD0D62" w14:textId="24AC4D9C"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Thứ ba, </w:t>
      </w:r>
      <w:r w:rsidRPr="0080689F">
        <w:rPr>
          <w:rFonts w:ascii="Times New Roman" w:eastAsia="Times New Roman" w:hAnsi="Times New Roman" w:cs="Times New Roman"/>
          <w:color w:val="000000" w:themeColor="text1"/>
          <w:kern w:val="0"/>
          <w:sz w:val="28"/>
          <w:szCs w:val="28"/>
          <w14:ligatures w14:val="none"/>
        </w:rPr>
        <w:t>để vận hành ứng dụng này cần thiết phải tiêu hao một nguồn năng lượng lớn là điện năng vì công nghệ Blockchain tiêu thụ điện năng rất lớn trong quá trình tiếp nhận, xử lí dữ liệu (Hamdan và cộng sự, 2023; Tapscott và Tapscott, 2016).</w:t>
      </w:r>
    </w:p>
    <w:p w14:paraId="2FB751A7" w14:textId="488BB6D8"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i/>
          <w:iCs/>
          <w:color w:val="000000" w:themeColor="text1"/>
          <w:kern w:val="0"/>
          <w:sz w:val="28"/>
          <w:szCs w:val="28"/>
          <w14:ligatures w14:val="none"/>
        </w:rPr>
        <w:t>3.2.2. Thuận lợi và thách thức</w:t>
      </w:r>
    </w:p>
    <w:p w14:paraId="26C44079" w14:textId="145663D0"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Việc ứng dụng thành công về công nghệ Blockchain trên thế giới, đặc biệt là ứng dụng hợp đồng thông minh trong hoạt động kiểm toán nội bộ trên nền tảng Blockchain đã đem lại nhiều thuận lợi và thách thức mới cho cả tổ chức và kiểm toán viên nội bộ.</w:t>
      </w:r>
    </w:p>
    <w:p w14:paraId="51EA1C66" w14:textId="718D8CED"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i/>
          <w:iCs/>
          <w:color w:val="000000" w:themeColor="text1"/>
          <w:kern w:val="0"/>
          <w:sz w:val="28"/>
          <w:szCs w:val="28"/>
          <w14:ligatures w14:val="none"/>
        </w:rPr>
        <w:t>Về thuận lợi</w:t>
      </w:r>
    </w:p>
    <w:p w14:paraId="1D5068F9" w14:textId="47824D2D"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xml:space="preserve">Hành lang pháp lí cho việc ứng dụng công nghệ Blockchain: Cơ quan có thẩm quyền của Việt Nam đã ban hành một số chính sách và văn bản quy phạm pháp luật quan trọng được coi là “khung sườn” tạo động lực cho việc nghiên cứu, ứng dụng trong thực tiễn như: Nghị quyết số 52-NQ/TW ngày 27/9/2019 của Bộ Chính trị về một số chủ trương, chính sách chủ động tham gia cuộc Cách mạng công nghiệp lần thứ tư; Quyết định số 2289/QĐ-TTg ngày 31/12/2020 của Thủ tướng Chính phủ ban hành chiến lược quốc gia về Cách mạng công nghiệp lần </w:t>
      </w:r>
      <w:r w:rsidRPr="0080689F">
        <w:rPr>
          <w:rFonts w:ascii="Times New Roman" w:eastAsia="Times New Roman" w:hAnsi="Times New Roman" w:cs="Times New Roman"/>
          <w:color w:val="000000" w:themeColor="text1"/>
          <w:kern w:val="0"/>
          <w:sz w:val="28"/>
          <w:szCs w:val="28"/>
          <w14:ligatures w14:val="none"/>
        </w:rPr>
        <w:lastRenderedPageBreak/>
        <w:t>thứ tư đến năm 2030; Dự thảo Nghị định cơ chế thử nghiệm có kiểm soát đối với hoạt động công nghệ tài chính (Fintech) trong lĩnh vực ngân hàng…</w:t>
      </w:r>
    </w:p>
    <w:p w14:paraId="30D7CBDC" w14:textId="1083B250" w:rsidR="003B5CA5" w:rsidRPr="0080689F"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Sử dụng hợp đồng thông minh giúp kiểm toán viên nội bộ tuân thủ và duy trì các chuẩn mực về kiểm toán (IAS) cũng như khung chuẩn mực quốc tế về hành nghề Kiểm toán nội bộ (IPPF). Cụ thể, kiểm toán viên cần phải tuân thủ các tiêu chí về quy tắc đạo đức nghề nghiệp như tính chính trực, khách quan, bảo mật và năng lực nghề nghiệp. Tuy nhiên, rủi ro kiểm toán do yếu tố cá nhân vẫn có thể xảy ra. Hợp đồng thông minh có thể khắc phục và hỗ trợ hữu hiệu vấn đề này (Hamdan và cộng sự, 2023).</w:t>
      </w:r>
    </w:p>
    <w:p w14:paraId="61B481A0" w14:textId="201AEE80" w:rsidR="003B5CA5" w:rsidRPr="0080689F" w:rsidRDefault="003B5CA5" w:rsidP="0093396A">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Tính độc lập: </w:t>
      </w:r>
      <w:r w:rsidRPr="0080689F">
        <w:rPr>
          <w:rFonts w:ascii="Times New Roman" w:eastAsia="Times New Roman" w:hAnsi="Times New Roman" w:cs="Times New Roman"/>
          <w:color w:val="000000" w:themeColor="text1"/>
          <w:kern w:val="0"/>
          <w:sz w:val="28"/>
          <w:szCs w:val="28"/>
          <w14:ligatures w14:val="none"/>
        </w:rPr>
        <w:t>Tính độc lập trong kiểm toán có thể bị đe dọa bởi sự tư lợi, tự đánh giá, thăng chức quá mức, mối quan hệ mật thiết và áp lực bên ngoài. Hợp đồng thông minh có thể giúp kiểm toán viên tránh được các ảnh hưởng mang tính phán xét từ cảm xúc của con người.</w:t>
      </w:r>
    </w:p>
    <w:p w14:paraId="64DDB4A2" w14:textId="5DD657A6"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Tính liêm chính: </w:t>
      </w:r>
      <w:r w:rsidRPr="0080689F">
        <w:rPr>
          <w:rFonts w:ascii="Times New Roman" w:eastAsia="Times New Roman" w:hAnsi="Times New Roman" w:cs="Times New Roman"/>
          <w:color w:val="000000" w:themeColor="text1"/>
          <w:kern w:val="0"/>
          <w:sz w:val="28"/>
          <w:szCs w:val="28"/>
          <w14:ligatures w14:val="none"/>
        </w:rPr>
        <w:t>Thiếu liêm chính là một khuyết điểm về tính cách của con người. Nếu kiểm toán viên mắc khuyết điểm này, họ có thể nhắm mắt làm ngơ khi phát hiện gian lận và sai sót. Tuy nhiên, với hợp đồng thông minh bằng đặc tính ổn định, chắc chắn của công nghệ có thể đảm bảo sự toàn vẹn về dữ liệu của các giao dịch. Đây chính là ưu thế nổi trội, quan trọng của công nghệ Blockchain.</w:t>
      </w:r>
    </w:p>
    <w:p w14:paraId="28679F11" w14:textId="69327838" w:rsidR="003B5CA5" w:rsidRPr="0080689F"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Tính khách quan: </w:t>
      </w:r>
      <w:r w:rsidRPr="0080689F">
        <w:rPr>
          <w:rFonts w:ascii="Times New Roman" w:eastAsia="Times New Roman" w:hAnsi="Times New Roman" w:cs="Times New Roman"/>
          <w:color w:val="000000" w:themeColor="text1"/>
          <w:kern w:val="0"/>
          <w:sz w:val="28"/>
          <w:szCs w:val="28"/>
          <w14:ligatures w14:val="none"/>
        </w:rPr>
        <w:t>Theo thời gian, cùng với sự phát triển và thay đổi của pháp luật, chuẩn mực kiểm toán quốc tế. Rủi ro về khả năng nghề nghiệp của kiểm toán viên sẽ bị sai lệch nếu họ chưa nắm bắt và cập nhật kịp thời. Trong trường hợp này, nếu các thông tin mới, thay đổi được cập nhật vào hệ thống thì các thủ tục kiểm toán có thể giảm thiểu lỗi, thiếu sót do rủi ro thiếu khả năng chuyên môn của kiểm toán viên.</w:t>
      </w:r>
    </w:p>
    <w:p w14:paraId="2A4E1E74" w14:textId="55AE643C" w:rsidR="003B5CA5" w:rsidRPr="0080689F"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Tính bảo mật: </w:t>
      </w:r>
      <w:r w:rsidRPr="0080689F">
        <w:rPr>
          <w:rFonts w:ascii="Times New Roman" w:eastAsia="Times New Roman" w:hAnsi="Times New Roman" w:cs="Times New Roman"/>
          <w:color w:val="000000" w:themeColor="text1"/>
          <w:kern w:val="0"/>
          <w:sz w:val="28"/>
          <w:szCs w:val="28"/>
          <w14:ligatures w14:val="none"/>
        </w:rPr>
        <w:t>Khi kiểm toán, kiểm toán viên có thể tiếp cận nhiều bí mật, công nghệ thương mại. Sử dụng hợp đồng thông minh với các điều kiện không cho phép sao chép, truy xuất hay phân quyền tiếp cận có thể bảo vệ dữ liệu, tránh rủi ro mất mát, rò rỉ. Công ty kiểm toán Deloitte đã sử dụng công nghệ này để tích hợp vào hệ thống ngân hàng Ireland.</w:t>
      </w:r>
    </w:p>
    <w:p w14:paraId="11F3025D" w14:textId="524317F0"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Đảm bảo về năng lực:</w:t>
      </w:r>
      <w:r w:rsidRPr="0080689F">
        <w:rPr>
          <w:rFonts w:ascii="Times New Roman" w:eastAsia="Times New Roman" w:hAnsi="Times New Roman" w:cs="Times New Roman"/>
          <w:color w:val="000000" w:themeColor="text1"/>
          <w:kern w:val="0"/>
          <w:sz w:val="28"/>
          <w:szCs w:val="28"/>
          <w14:ligatures w14:val="none"/>
        </w:rPr>
        <w:t xml:space="preserve"> Công nghệ Blockchain hỗ trợ kiểm toán tự động và cho kết quả đáng tin cậy hơn thủ tục kiểm toán bằng tay hoặc bán tự động từ kiểm toán viên. Chẳng hạn, ứng dụng kiểm toán bằng hợp đồng thông minh trên nền tảng Blockchain có tên là Perma Rec của Deloitte. Chương trình này thiết lập việc kết nối thời gian thực giữa Deloitte với hệ thống quản lí tài chính của công ty được </w:t>
      </w:r>
      <w:r w:rsidRPr="0080689F">
        <w:rPr>
          <w:rFonts w:ascii="Times New Roman" w:eastAsia="Times New Roman" w:hAnsi="Times New Roman" w:cs="Times New Roman"/>
          <w:color w:val="000000" w:themeColor="text1"/>
          <w:kern w:val="0"/>
          <w:sz w:val="28"/>
          <w:szCs w:val="28"/>
          <w14:ligatures w14:val="none"/>
        </w:rPr>
        <w:lastRenderedPageBreak/>
        <w:t>kiểm toán, theo dõi và xác minh các giao dịch cũng như trường nhập dữ liệu tài chính. Đồng thời, chương trình hợp đồng thông minh cũng theo dõi các hoạt động kinh doanh. Thông qua ứng dụng này, từng khoản mục được phân luồng kiểm soát. Đây là một sự đổi mới trong kiểm toán, nó cho phép trợ giúp việc thực hiện kiểm toán bằng cách sử dụng hợp đồng thông minh trên nền tảng Blockchain.</w:t>
      </w:r>
    </w:p>
    <w:p w14:paraId="32AE626F" w14:textId="02BCD71D"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Bên cạnh đó, hợp đồng thông minh giúp hoạt động kiểm toán nội bộ gia tăng hiệu quả công việc theo hướng nhanh hơn, chính xác và tự động hóa. Ngoài việc kiểm tra kiểm soát các sai sót/lỗi phát sinh, kiểm toán nội bộ có thể ứng dụng tính năng hợp đồng thông minh trong việc lưu trữ và cập nhật các giấy tờ làm việc của kiểm toán nội bộ, chứng cứ kiểm toán, báo cáo kiểm toán nội bộ trên nền tảng Blockchain. Lúc này, mọi tác nghiệp của các kiểm toán viên đều được lưu vết từ việc ghi nhận, thay đổi, cập nhật trên Blockchain mà cả kiểm toán viên và các đối tượng phân quyền khác đều có thể truy cập ở bất cứ thời điểm nào. Do đó, từ lúc triển khai một cuộc kiểm toán nội bộ cho đến kết thúc, theo dõi sau kiểm toán sẽ tiết kiệm được khá nhiều thời gian và hỗ trợ khả năng tương tác, xử lí số liệu… Đây là những khả dụng mang tính tối ưu về hiệu quả trong công tác kiểm toán nội bộ thích hợp cho cả các doanh nghiệp thuộc khu vực tài chính hoặc phi tài chính. Chẳng hạn, hợp đồng thông minh có thể được thiết lập trong việc truy xuất nguồn gốc và kiểm tra tiêu chuẩn chất lượng về hàng hóa, nông sản.</w:t>
      </w:r>
    </w:p>
    <w:p w14:paraId="6702FC16" w14:textId="4E4A2D0D"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Hoặc là, bằng các thuật toán được lập trình trong thủ tục kiểm toán thông minh, kiểm toán viên nội bộ trong ngân hàng thương mại sử dụng cho việc giám sát, kiểm toán từ xa đối với các ngưỡng cảnh báo trong việc quản lí rủi ro tín dụng (tỉ lệ nợ xấu, nhóm khách hàng liên quan, nợ quá hạn…), các chỉ số an toàn hoạt động (CAR, các tỉ lệ dự trữ thanh khoản, nhập liệu thông tin và phân loại hệ số rủi ro đối với các tài sản có rủi ro…), quản lí rủi ro hoạt động (ngưỡng cảnh báo các chỉ số rủi ro chính).</w:t>
      </w:r>
    </w:p>
    <w:p w14:paraId="788DC7EF" w14:textId="734EB3CE"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i/>
          <w:iCs/>
          <w:color w:val="000000" w:themeColor="text1"/>
          <w:kern w:val="0"/>
          <w:sz w:val="28"/>
          <w:szCs w:val="28"/>
          <w14:ligatures w14:val="none"/>
        </w:rPr>
        <w:t>Thách thức</w:t>
      </w:r>
    </w:p>
    <w:p w14:paraId="723C03E6" w14:textId="2BB6AEA4"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Việc ứng dụng hợp đồng thông minh trong hoạt động kiểm toán nội bộ trên nền tảng Blockchain sẽ phát sinh một số thách thức như sau:</w:t>
      </w:r>
    </w:p>
    <w:p w14:paraId="036E73F0" w14:textId="769B2D85"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Một là, </w:t>
      </w:r>
      <w:r w:rsidRPr="0080689F">
        <w:rPr>
          <w:rFonts w:ascii="Times New Roman" w:eastAsia="Times New Roman" w:hAnsi="Times New Roman" w:cs="Times New Roman"/>
          <w:color w:val="000000" w:themeColor="text1"/>
          <w:kern w:val="0"/>
          <w:sz w:val="28"/>
          <w:szCs w:val="28"/>
          <w14:ligatures w14:val="none"/>
        </w:rPr>
        <w:t>chi phí phát sinh mà tổ chức phải dự toán: (i) Chi phí và thời gian đào tạo kiểm toán viên vận hành, phát triển thủ tục kiểm toán ứng dụng trên nền tảng Blockchain; (ii) Các loại chi phí liên quan đến quyền sở hữu trí tuệ về công nghệ, sáng chế; (iii) Chi phí về việc sử dụng điện năng.</w:t>
      </w:r>
    </w:p>
    <w:p w14:paraId="3F626886" w14:textId="1C0D4FFB" w:rsidR="003B5CA5" w:rsidRPr="0080689F"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lastRenderedPageBreak/>
        <w:t>Hai là,</w:t>
      </w:r>
      <w:r w:rsidRPr="0080689F">
        <w:rPr>
          <w:rFonts w:ascii="Times New Roman" w:eastAsia="Times New Roman" w:hAnsi="Times New Roman" w:cs="Times New Roman"/>
          <w:color w:val="000000" w:themeColor="text1"/>
          <w:kern w:val="0"/>
          <w:sz w:val="28"/>
          <w:szCs w:val="28"/>
          <w14:ligatures w14:val="none"/>
        </w:rPr>
        <w:t> khó khăn trong vấn đề bảo mật và truy vấn thông tin dữ liệu khi mất hoặc quên các khóa riêng tư vì tính duy nhất và không thể truy xuất ngược để dò tìm, khôi phục.</w:t>
      </w:r>
    </w:p>
    <w:p w14:paraId="3D50A835" w14:textId="40860B62" w:rsidR="003B5CA5" w:rsidRPr="0080689F"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Ba là, </w:t>
      </w:r>
      <w:r w:rsidRPr="0080689F">
        <w:rPr>
          <w:rFonts w:ascii="Times New Roman" w:eastAsia="Times New Roman" w:hAnsi="Times New Roman" w:cs="Times New Roman"/>
          <w:color w:val="000000" w:themeColor="text1"/>
          <w:kern w:val="0"/>
          <w:sz w:val="28"/>
          <w:szCs w:val="28"/>
          <w14:ligatures w14:val="none"/>
        </w:rPr>
        <w:t>việc thuyết phục người dùng, người có quyền ra quyết định chấp nhận công nghệ mới hay không? Bởi việc chấp nhận này phụ thuộc nhiều vào quan điểm của con người, chi phí và khả năng vận hành công nghệ mới (Taherdoost, 2023).</w:t>
      </w:r>
    </w:p>
    <w:p w14:paraId="5A51D6B0" w14:textId="1BDED159" w:rsidR="003B5CA5" w:rsidRPr="0080689F"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Bốn là, </w:t>
      </w:r>
      <w:r w:rsidRPr="0080689F">
        <w:rPr>
          <w:rFonts w:ascii="Times New Roman" w:eastAsia="Times New Roman" w:hAnsi="Times New Roman" w:cs="Times New Roman"/>
          <w:color w:val="000000" w:themeColor="text1"/>
          <w:kern w:val="0"/>
          <w:sz w:val="28"/>
          <w:szCs w:val="28"/>
          <w14:ligatures w14:val="none"/>
        </w:rPr>
        <w:t>khó khăn trong việc thiết kế các câu lệnh về kĩ thuật xử lí và phát hiện lỗ hổng hiệu quả nếu như trong quá trình kiểm toán phát sinh thủ tục cần thay đổi. Về nguyên tắc, các hợp đồng thông minh khi đã triển khai, chúng không thể bị thay đổi, khiến cho việc tìm ra giải pháp cho vấn đề bảo mật trong các hợp đồng thông minh trở nên rất khó khăn. Sau khi một hợp đồng thông minh đã được tích hợp vào nền tảng Blockchain, không có cách để sửa bất kì lỗi nào nếu mã lệnh đã được thực thi. Tuy nhiên, khi thủ tục kiểm toán chưa chính xác hoặc cần thay đổi, kiểm toán viên phải xây dựng quy trình cập nhật và chấm dứt tình trạng hợp đồng. Điều này vừa gây mất thời gian, đồng thời thông tin sẽ bị rò rỉ.</w:t>
      </w:r>
    </w:p>
    <w:p w14:paraId="4D07DD78" w14:textId="2DAE148E" w:rsidR="003B5CA5" w:rsidRPr="0080689F"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Năm là,</w:t>
      </w:r>
      <w:r w:rsidRPr="0080689F">
        <w:rPr>
          <w:rFonts w:ascii="Times New Roman" w:eastAsia="Times New Roman" w:hAnsi="Times New Roman" w:cs="Times New Roman"/>
          <w:color w:val="000000" w:themeColor="text1"/>
          <w:kern w:val="0"/>
          <w:sz w:val="28"/>
          <w:szCs w:val="28"/>
          <w14:ligatures w14:val="none"/>
        </w:rPr>
        <w:t> mặc dù cơ quan có thẩm quyền Việt Nam đã và đang khuyến khích, thúc đẩy việc ứng dụng công nghệ tài chính bằng việc ban hành các văn bản pháp luật cụ thể hóa chính sách, chủ trương chủ động tham gia Cuộc cách mạng công nghiệp lần thứ tư nhưng hành lang pháp lí quy định chi tiết cho việc triển khai chỉ đang ở giai đoạn dự thảo, thí điểm.</w:t>
      </w:r>
    </w:p>
    <w:p w14:paraId="41C824CD" w14:textId="5231C26E"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4. Kết luận</w:t>
      </w:r>
    </w:p>
    <w:p w14:paraId="3638AF01" w14:textId="52C83CA0" w:rsidR="003B5CA5" w:rsidRPr="0080689F" w:rsidRDefault="003B5CA5" w:rsidP="00ED2EA5">
      <w:pPr>
        <w:ind w:firstLine="709"/>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Để có thể ứng dụng thành công trong hoạt động kiểm toán nội bộ bằng hợp đồng thông minh trên nền tảng Blockchain, tác giả cho rằng cần thiết phải đảm bảo các điều kiện nền tảng sau đây:</w:t>
      </w:r>
    </w:p>
    <w:p w14:paraId="379E8DBC" w14:textId="099DB36B"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i/>
          <w:iCs/>
          <w:color w:val="000000" w:themeColor="text1"/>
          <w:kern w:val="0"/>
          <w:sz w:val="28"/>
          <w:szCs w:val="28"/>
          <w14:ligatures w14:val="none"/>
        </w:rPr>
        <w:t>Một là, </w:t>
      </w:r>
      <w:r w:rsidRPr="0080689F">
        <w:rPr>
          <w:rFonts w:ascii="Times New Roman" w:eastAsia="Times New Roman" w:hAnsi="Times New Roman" w:cs="Times New Roman"/>
          <w:color w:val="000000" w:themeColor="text1"/>
          <w:kern w:val="0"/>
          <w:sz w:val="28"/>
          <w:szCs w:val="28"/>
          <w14:ligatures w14:val="none"/>
        </w:rPr>
        <w:t>hành lang pháp lí cho việc ứng dụng các công nghệ mới trong đó có Blockchain cần được nhanh chóng xây dựng và điều chỉnh bằng các quy phạm pháp luật cụ thể từ vận hành, quản lí và chuyển giao quyền sở hữu tài sản, quyền sở hữu trí tuệ…</w:t>
      </w:r>
    </w:p>
    <w:p w14:paraId="58B02D01" w14:textId="278C46EB"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i/>
          <w:iCs/>
          <w:color w:val="000000" w:themeColor="text1"/>
          <w:kern w:val="0"/>
          <w:sz w:val="28"/>
          <w:szCs w:val="28"/>
          <w14:ligatures w14:val="none"/>
        </w:rPr>
        <w:t>Hai là,</w:t>
      </w:r>
      <w:r w:rsidRPr="0080689F">
        <w:rPr>
          <w:rFonts w:ascii="Times New Roman" w:eastAsia="Times New Roman" w:hAnsi="Times New Roman" w:cs="Times New Roman"/>
          <w:color w:val="000000" w:themeColor="text1"/>
          <w:kern w:val="0"/>
          <w:sz w:val="28"/>
          <w:szCs w:val="28"/>
          <w14:ligatures w14:val="none"/>
        </w:rPr>
        <w:t> vấn đề bảo mật và truy vấn thông tin dữ liệu cần được quan tâm chú trọng, nhất là vấn đề an ninh mạng. Cụ thể, việc lưu trữ về khóa bảo mật cần được kiểm soát chặt chẽ, an toàn, phân quyền đối với từng cấp độ kiểm toán viên, các bên liên quan trong việc truy cập thông tin có liên quan đến bí mật công nghệ.</w:t>
      </w:r>
    </w:p>
    <w:p w14:paraId="79BB52AE" w14:textId="3C9DAF31"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i/>
          <w:iCs/>
          <w:color w:val="000000" w:themeColor="text1"/>
          <w:kern w:val="0"/>
          <w:sz w:val="28"/>
          <w:szCs w:val="28"/>
          <w14:ligatures w14:val="none"/>
        </w:rPr>
        <w:lastRenderedPageBreak/>
        <w:t>Ba là, </w:t>
      </w:r>
      <w:r w:rsidRPr="0080689F">
        <w:rPr>
          <w:rFonts w:ascii="Times New Roman" w:eastAsia="Times New Roman" w:hAnsi="Times New Roman" w:cs="Times New Roman"/>
          <w:color w:val="000000" w:themeColor="text1"/>
          <w:kern w:val="0"/>
          <w:sz w:val="28"/>
          <w:szCs w:val="28"/>
          <w14:ligatures w14:val="none"/>
        </w:rPr>
        <w:t>chất lượng nguồn nhân lực trong đào tạo để đáp ứng nhu cầu vận hành, quản lí và phát triển các ứng dụng tương thích với yêu cầu của khoa học, công nghệ không ngừng thay đổi; trong đó, kiểm toán viên nội bộ cần được trang bị sâu hơn những kiến thức chuyên môn về công nghệ thông tin cũng như khả năng sử dụng thuần thục đối với những vấn đề khoa học máy tính có liên quan.</w:t>
      </w:r>
    </w:p>
    <w:p w14:paraId="4BF890A6" w14:textId="77777777" w:rsidR="009D5CA9"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i/>
          <w:iCs/>
          <w:color w:val="000000" w:themeColor="text1"/>
          <w:kern w:val="0"/>
          <w:sz w:val="28"/>
          <w:szCs w:val="28"/>
          <w14:ligatures w14:val="none"/>
        </w:rPr>
        <w:t>Bốn là, </w:t>
      </w:r>
      <w:r w:rsidRPr="0080689F">
        <w:rPr>
          <w:rFonts w:ascii="Times New Roman" w:eastAsia="Times New Roman" w:hAnsi="Times New Roman" w:cs="Times New Roman"/>
          <w:color w:val="000000" w:themeColor="text1"/>
          <w:kern w:val="0"/>
          <w:sz w:val="28"/>
          <w:szCs w:val="28"/>
          <w14:ligatures w14:val="none"/>
        </w:rPr>
        <w:t>trong các nghiên cứu xa hơn cần có những nghiên cứu định lượng về tác động của việc ứng dụng hợp đồng thông minh lên hiệu quả kiểm toán nội bộ tại Việt Nam để làm cơ sở đưa ra quyết định chấp nhận hay không việc ứng dụng công nghệ mới này sau khi đã có kết quả so sánh giữa chi phí và lợi ích mang lại.</w:t>
      </w:r>
    </w:p>
    <w:p w14:paraId="63334D90" w14:textId="19D214C9" w:rsidR="003B5CA5" w:rsidRPr="0080689F"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Tài liệu tham khảo:</w:t>
      </w:r>
    </w:p>
    <w:p w14:paraId="42336820"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1. Andrés, J., &amp; Lorca, P. (2021). On the impact of smart contracts on auditing. The International Journal of Digital Accounting Research, 21, pages 155 - 181. https://doi.org/10.4192/1577-8517-v21_6</w:t>
      </w:r>
    </w:p>
    <w:p w14:paraId="492E7329"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2. Chelliah, P. R. P., Saini, K., &amp; Surianarayanan, C. (2020). Blockchain Technology and Applications. https://doi.org/10.1201/9781003081487</w:t>
      </w:r>
    </w:p>
    <w:p w14:paraId="1604B614"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 3. Deloitte. (2020). Deloitte’s 2020 Global Blockchain Survey: From promise to reality. Deloitte. https://www2.deloitte.com/content/dam/Deloitte/tw/Documents/financial-services/2020-global-blockchain-survey.pdf</w:t>
      </w:r>
    </w:p>
    <w:p w14:paraId="4DC9C9FF"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4. Garg, R. (2023). Blockchain for Real World Applications.</w:t>
      </w:r>
    </w:p>
    <w:p w14:paraId="51572655"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5. Gates, M. (2017). Blockchain: Ultimate guide to understanding blockchain, bitcoin, cryptocurrencies, smart contracts and the future of money. CreateSpace Independent Publishing Platform.</w:t>
      </w:r>
    </w:p>
    <w:p w14:paraId="17667DE6"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6. Gomathi, S., Finney, M., &amp; Pajila, P. J. B. (2020). Blockchain: A Review of Protocols and Standards. Blockchain Technology, pages 13-22.</w:t>
      </w:r>
    </w:p>
    <w:p w14:paraId="51F88D10"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7. Habib, G., Sharma, S., Ibrahim, S., Ahmad, I., Qureshi, S., &amp; Ishfaq, M. (2022). Blockchain Technology: Benefits, Challenges, Applications, and Integration of Blockchain Technology with Cloud Computing. Future Internet, 14(11), 341.</w:t>
      </w:r>
    </w:p>
    <w:p w14:paraId="4748749B"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lastRenderedPageBreak/>
        <w:t>8. Hamdan, A., Shoaib, H. M., Alareeni, B., &amp; Hamdan, R. (2023). The Implementation of Smart Technologies for Business Success and Sustainability. Studies in Systems, Decision and Control, 216.</w:t>
      </w:r>
    </w:p>
    <w:p w14:paraId="41AE3753"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9. Islam, S. K. H., Pal, A. K., Samanta, D., &amp; Bhattacharyya, S. (2022). Blockchain Technology for Emerging Applications: A Comprehensive Approach. Academic Press.</w:t>
      </w:r>
    </w:p>
    <w:p w14:paraId="538D3CE6"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10. Javaid, M., Haleem, A., Singh, R., Khan, S., &amp; Suman, R. (2021). Blockchain technology applications for Industry 4.0: A literature-based review. Blockchain: Research and Applications, 2, 100027. https://doi.org/10.1016/j.bcra.2021.100027</w:t>
      </w:r>
    </w:p>
    <w:p w14:paraId="6C6623E9"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11. King, B. (2018). Bank 4.0: Banking everywhere, never at a bank. John Wiley &amp; Sons.</w:t>
      </w:r>
    </w:p>
    <w:p w14:paraId="257C921D"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12. Liu, M., Wu, K., &amp; Xu, J. J. (2019). How will blockchain technology impact auditing and accounting: Permissionless versus permissioned blockchain. Current Issues in Auditing, 13(2), A19-A29.</w:t>
      </w:r>
    </w:p>
    <w:p w14:paraId="36FE2EBD"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13. Nguyen, D., và Luu, T. L. (2018). Blockchain và đầu tư ICOs căn bản - Con đường tới tự do. Nhà xuất bản Thanh niên.</w:t>
      </w:r>
    </w:p>
    <w:p w14:paraId="5053D815"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14. Parikshit, H. (2022). Smart Contracts in Blockchain. Geeks for Geeks. https://www.geeksforgeeks.org/smart-contracts-in-blockchain/</w:t>
      </w:r>
    </w:p>
    <w:p w14:paraId="3B958C26"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15. Patel, R., Migliavacca, M., &amp; Oriani, M. E. (2022). Blockchain in banking and finance: A bibliometric review. Research in International Business and Finance, 62, 101718. https://doi.org/https://doi.org/10.1016/j.ribaf.2022.101718</w:t>
      </w:r>
    </w:p>
    <w:p w14:paraId="732E6492"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16. Rozario, A. M., &amp; Vasarhelyi, M. A. (2018). Auditing with Smart Contracts. International Journal of Digital Accounting Research, 18.</w:t>
      </w:r>
    </w:p>
    <w:p w14:paraId="55D51BEA"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17. Salman, T., Jain, R., &amp; Gupta, L. (2018, November 30). Probabilistic Blockchains: A Blockchain Paradigm for Collaborative Decision-Making. https://doi.org/10.1109/UEMCON.2018.8796512</w:t>
      </w:r>
    </w:p>
    <w:p w14:paraId="6B9CC8FB"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18. Taherdoost, H. (2023). Smart Contracts in Blockchain Technology: A Critical Review. In Information (Vol. 14, Issue 2). https://doi.org/10.3390/info14020117</w:t>
      </w:r>
    </w:p>
    <w:p w14:paraId="78D73160"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lastRenderedPageBreak/>
        <w:t>19. Tapscott, D., &amp; Tapscott, A. (2016). Blockchain revolution: how the technology behind bitcoin is changing money, business, and the world. Penguin.</w:t>
      </w:r>
    </w:p>
    <w:p w14:paraId="5580ADDF" w14:textId="333AF04E" w:rsidR="003B5CA5" w:rsidRPr="0080689F" w:rsidRDefault="003B5CA5" w:rsidP="009D5CA9">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 xml:space="preserve">20. Le, H. N., Lam, T. H. H. (2022). Ứng dụng Blockchain vào hoạt động kiểm toán nội bộ - Bài học kinh nghiệm cho Việt Nam. Tạp chí Khoa học Đại học Mở Thành phố Hồ Chí </w:t>
      </w:r>
      <w:r w:rsidR="009D5CA9">
        <w:rPr>
          <w:rFonts w:ascii="Times New Roman" w:eastAsia="Times New Roman" w:hAnsi="Times New Roman" w:cs="Times New Roman"/>
          <w:i/>
          <w:iCs/>
          <w:color w:val="000000" w:themeColor="text1"/>
          <w:kern w:val="0"/>
          <w:sz w:val="28"/>
          <w:szCs w:val="28"/>
          <w14:ligatures w14:val="none"/>
        </w:rPr>
        <w:t>M</w:t>
      </w:r>
      <w:r w:rsidRPr="0080689F">
        <w:rPr>
          <w:rFonts w:ascii="Times New Roman" w:eastAsia="Times New Roman" w:hAnsi="Times New Roman" w:cs="Times New Roman"/>
          <w:i/>
          <w:iCs/>
          <w:color w:val="000000" w:themeColor="text1"/>
          <w:kern w:val="0"/>
          <w:sz w:val="28"/>
          <w:szCs w:val="28"/>
          <w14:ligatures w14:val="none"/>
        </w:rPr>
        <w:t>inh - Kinh tế và Quản trị Kinh doanh, 17(5), trang 44 - 58.</w:t>
      </w:r>
    </w:p>
    <w:p w14:paraId="449B2857" w14:textId="77777777" w:rsidR="003B5CA5" w:rsidRPr="0080689F" w:rsidRDefault="003B5CA5" w:rsidP="00E71244">
      <w:pPr>
        <w:ind w:firstLine="709"/>
        <w:jc w:val="both"/>
        <w:rPr>
          <w:rFonts w:ascii="Times New Roman" w:hAnsi="Times New Roman" w:cs="Times New Roman"/>
          <w:color w:val="000000" w:themeColor="text1"/>
          <w:sz w:val="28"/>
          <w:szCs w:val="28"/>
        </w:rPr>
      </w:pPr>
    </w:p>
    <w:p w14:paraId="089D1AE3" w14:textId="77777777" w:rsidR="00ED2EA5" w:rsidRDefault="00ED2EA5">
      <w:pPr>
        <w:rPr>
          <w:rFonts w:ascii="Times New Roman" w:eastAsia="Times New Roman" w:hAnsi="Times New Roman" w:cs="Times New Roman"/>
          <w:b/>
          <w:bCs/>
          <w:color w:val="000000" w:themeColor="text1"/>
          <w:kern w:val="36"/>
          <w:sz w:val="28"/>
          <w:szCs w:val="28"/>
          <w:lang w:val="vi-VN"/>
          <w14:ligatures w14:val="none"/>
        </w:rPr>
      </w:pPr>
      <w:r>
        <w:rPr>
          <w:rFonts w:ascii="Times New Roman" w:eastAsia="Times New Roman" w:hAnsi="Times New Roman" w:cs="Times New Roman"/>
          <w:b/>
          <w:bCs/>
          <w:color w:val="000000" w:themeColor="text1"/>
          <w:kern w:val="36"/>
          <w:sz w:val="28"/>
          <w:szCs w:val="28"/>
          <w:lang w:val="vi-VN"/>
          <w14:ligatures w14:val="none"/>
        </w:rPr>
        <w:br w:type="page"/>
      </w:r>
    </w:p>
    <w:p w14:paraId="6F153052" w14:textId="7721A1F8" w:rsidR="003B5CA5" w:rsidRDefault="00ED2EA5" w:rsidP="00ED2EA5">
      <w:pPr>
        <w:ind w:firstLine="709"/>
        <w:jc w:val="center"/>
        <w:rPr>
          <w:rFonts w:ascii="Times New Roman" w:eastAsia="Times New Roman" w:hAnsi="Times New Roman" w:cs="Times New Roman"/>
          <w:b/>
          <w:bCs/>
          <w:color w:val="000000" w:themeColor="text1"/>
          <w:kern w:val="36"/>
          <w:sz w:val="28"/>
          <w:szCs w:val="28"/>
          <w:lang w:val="vi-VN"/>
          <w14:ligatures w14:val="none"/>
        </w:rPr>
      </w:pPr>
      <w:r w:rsidRPr="0080689F">
        <w:rPr>
          <w:rFonts w:ascii="Times New Roman" w:eastAsia="Times New Roman" w:hAnsi="Times New Roman" w:cs="Times New Roman"/>
          <w:b/>
          <w:bCs/>
          <w:color w:val="000000" w:themeColor="text1"/>
          <w:kern w:val="36"/>
          <w:sz w:val="28"/>
          <w:szCs w:val="28"/>
          <w:lang w:val="vi-VN"/>
          <w14:ligatures w14:val="none"/>
        </w:rPr>
        <w:lastRenderedPageBreak/>
        <w:t>H</w:t>
      </w:r>
      <w:r w:rsidRPr="000B0F3D">
        <w:rPr>
          <w:rFonts w:ascii="Times New Roman" w:eastAsia="Times New Roman" w:hAnsi="Times New Roman" w:cs="Times New Roman"/>
          <w:b/>
          <w:bCs/>
          <w:color w:val="000000" w:themeColor="text1"/>
          <w:kern w:val="36"/>
          <w:sz w:val="28"/>
          <w:szCs w:val="28"/>
          <w:lang w:val="vi-VN"/>
          <w14:ligatures w14:val="none"/>
        </w:rPr>
        <w:t>ÀNH LANG PHÁP LÝ CHO THƯƠNG MẠI ĐIỆN TỬ ĐỂ BẢO VỆ NGƯỜI TIÊU DÙNG</w:t>
      </w:r>
    </w:p>
    <w:p w14:paraId="604FABCA" w14:textId="0ACDC4E1" w:rsidR="009D5CA9" w:rsidRDefault="009D5CA9" w:rsidP="009D5CA9">
      <w:pPr>
        <w:ind w:firstLine="709"/>
        <w:jc w:val="right"/>
        <w:rPr>
          <w:rFonts w:ascii="Times New Roman" w:eastAsia="Times New Roman" w:hAnsi="Times New Roman" w:cs="Times New Roman"/>
          <w:b/>
          <w:bCs/>
          <w:color w:val="000000" w:themeColor="text1"/>
          <w:kern w:val="36"/>
          <w:sz w:val="28"/>
          <w:szCs w:val="28"/>
          <w14:ligatures w14:val="none"/>
        </w:rPr>
      </w:pPr>
      <w:r w:rsidRPr="009D5CA9">
        <w:rPr>
          <w:rFonts w:ascii="Times New Roman" w:eastAsia="Times New Roman" w:hAnsi="Times New Roman" w:cs="Times New Roman"/>
          <w:b/>
          <w:bCs/>
          <w:color w:val="000000" w:themeColor="text1"/>
          <w:kern w:val="36"/>
          <w:sz w:val="28"/>
          <w:szCs w:val="28"/>
          <w:lang w:val="vi-VN"/>
          <w14:ligatures w14:val="none"/>
        </w:rPr>
        <w:t>Luật sư Mai Bích Ngâ</w:t>
      </w:r>
      <w:r>
        <w:rPr>
          <w:rFonts w:ascii="Times New Roman" w:eastAsia="Times New Roman" w:hAnsi="Times New Roman" w:cs="Times New Roman"/>
          <w:b/>
          <w:bCs/>
          <w:color w:val="000000" w:themeColor="text1"/>
          <w:kern w:val="36"/>
          <w:sz w:val="28"/>
          <w:szCs w:val="28"/>
          <w14:ligatures w14:val="none"/>
        </w:rPr>
        <w:t>n</w:t>
      </w:r>
    </w:p>
    <w:p w14:paraId="13069181" w14:textId="7E4C6F27" w:rsidR="009D5CA9" w:rsidRDefault="009D5CA9" w:rsidP="009D5CA9">
      <w:pPr>
        <w:ind w:firstLine="709"/>
        <w:jc w:val="right"/>
        <w:rPr>
          <w:rFonts w:ascii="Times New Roman" w:eastAsia="Times New Roman" w:hAnsi="Times New Roman" w:cs="Times New Roman"/>
          <w:b/>
          <w:bCs/>
          <w:color w:val="000000" w:themeColor="text1"/>
          <w:kern w:val="36"/>
          <w:sz w:val="28"/>
          <w:szCs w:val="28"/>
          <w14:ligatures w14:val="none"/>
        </w:rPr>
      </w:pPr>
      <w:r>
        <w:rPr>
          <w:rFonts w:ascii="Times New Roman" w:eastAsia="Times New Roman" w:hAnsi="Times New Roman" w:cs="Times New Roman"/>
          <w:b/>
          <w:bCs/>
          <w:color w:val="000000" w:themeColor="text1"/>
          <w:kern w:val="36"/>
          <w:sz w:val="28"/>
          <w:szCs w:val="28"/>
          <w14:ligatures w14:val="none"/>
        </w:rPr>
        <w:t>Đoàn Luật sư Thành phố Hà Nội</w:t>
      </w:r>
    </w:p>
    <w:p w14:paraId="55511C4F" w14:textId="77777777" w:rsidR="009D5CA9" w:rsidRPr="009D5CA9" w:rsidRDefault="009D5CA9" w:rsidP="009D5CA9">
      <w:pPr>
        <w:ind w:firstLine="709"/>
        <w:jc w:val="right"/>
        <w:rPr>
          <w:rFonts w:ascii="Times New Roman" w:eastAsia="Times New Roman" w:hAnsi="Times New Roman" w:cs="Times New Roman"/>
          <w:b/>
          <w:bCs/>
          <w:color w:val="000000" w:themeColor="text1"/>
          <w:kern w:val="36"/>
          <w:sz w:val="28"/>
          <w:szCs w:val="28"/>
          <w14:ligatures w14:val="none"/>
        </w:rPr>
      </w:pPr>
    </w:p>
    <w:p w14:paraId="1AEBBF17" w14:textId="77777777" w:rsidR="003B5CA5" w:rsidRPr="0080689F" w:rsidRDefault="003B5CA5"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80689F">
        <w:rPr>
          <w:rFonts w:ascii="Times New Roman" w:eastAsia="Times New Roman" w:hAnsi="Times New Roman" w:cs="Times New Roman"/>
          <w:b/>
          <w:bCs/>
          <w:color w:val="000000" w:themeColor="text1"/>
          <w:kern w:val="0"/>
          <w:sz w:val="28"/>
          <w:szCs w:val="28"/>
          <w:lang w:val="vi-VN"/>
          <w14:ligatures w14:val="none"/>
        </w:rPr>
        <w:t>Khái quát quá trình phát triển thương mại điện tử ở Việt Nam</w:t>
      </w:r>
    </w:p>
    <w:p w14:paraId="610E8E39" w14:textId="77777777" w:rsidR="003B5CA5" w:rsidRPr="009D5CA9" w:rsidRDefault="003B5CA5" w:rsidP="00E71244">
      <w:pPr>
        <w:ind w:firstLine="709"/>
        <w:jc w:val="both"/>
        <w:rPr>
          <w:rFonts w:ascii="Times New Roman" w:eastAsia="Times New Roman" w:hAnsi="Times New Roman" w:cs="Times New Roman"/>
          <w:bCs/>
          <w:color w:val="000000" w:themeColor="text1"/>
          <w:kern w:val="0"/>
          <w:sz w:val="28"/>
          <w:szCs w:val="28"/>
          <w:lang w:val="vi-VN"/>
          <w14:ligatures w14:val="none"/>
        </w:rPr>
      </w:pPr>
      <w:r w:rsidRPr="009D5CA9">
        <w:rPr>
          <w:rFonts w:ascii="Times New Roman" w:eastAsia="Times New Roman" w:hAnsi="Times New Roman" w:cs="Times New Roman"/>
          <w:bCs/>
          <w:color w:val="000000" w:themeColor="text1"/>
          <w:kern w:val="0"/>
          <w:sz w:val="28"/>
          <w:szCs w:val="28"/>
          <w:lang w:val="vi-VN"/>
          <w14:ligatures w14:val="none"/>
        </w:rPr>
        <w:t>Thương mại điện tử ở Việt Nam đang có bước phát triển nhanh chóng nhưng công tác quản lý vẫn còn nhiều bất cập, vướng mắc trong các quy định pháp luật liên quan. Vì vậy, xây dựng các công cụ quản lý phù hợp bản chất hoạt động của từng loại hình, giúp làm trong sạch môi trường kinh doanh là điều cần thiết.</w:t>
      </w:r>
    </w:p>
    <w:p w14:paraId="06731BB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Tăng trưởng vượt bậc</w:t>
      </w:r>
    </w:p>
    <w:p w14:paraId="08FC053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Trong vài năm trở lại đây, chúng ta đã chứng kiến sự bùng nổ và có bước phát triển mạnh mẽ cả về số lượng, quy mô của hoạt động kinh doanh thương mại điện tử. Sách trắng Thương mại điện tử Việt Nam năm 2022 vừa công bố đã dự báo quy mô thị trường thương mại điện tử bán lẻ (B2C) của Việt Nam năm 2022 sẽ đạt 16,4 tỷ USD, tăng trưởng 20% so với năm trước...</w:t>
      </w:r>
    </w:p>
    <w:p w14:paraId="4761DE5C"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Ước tính, số lượng người tiêu dùng mua sắm trực tuyến ở Việt Nam lần đầu tiên có thể sẽ chạm mốc 60 triệu. Giá trị mua sắm trực tuyến của một người dùng sẽ tiếp tục tăng mạnh, dự báo sẽ đạt 260- 285 USD/người trong năm nay. Tỷ trọng doanh thu thương mại điện tử B2C so với tổng mức bán lẻ hàng hóa và dịch vụ tiêu dùng cả nước sẽ vượt mốc 7% của năm 2021, đạt từ 7,2% - 7,8%.</w:t>
      </w:r>
    </w:p>
    <w:p w14:paraId="109C4A2A"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Mức tăng trưởng thương mại điện tử của Việt Nam được các hãng dự báo sẽ tiếp tục bùng nổ trong những năm tới và sẽ cán mốc 39 tỷ USD vào năm 2025, đứng thứ 2 sau Indonesia (104 tỷ USD), ngang bằng Singapore. Tổng doanh thu kinh tế Internet Việt Nam đến năm 2025 dự báo đạt mức 57 tỷ USD, chỉ đứng sau Indonesia. Việt Nam cũng có tỷ lệ người tiêu dùng mua sắm trực tuyến cao thứ 2 trong khu vực, chỉ sau Singapore.</w:t>
      </w:r>
    </w:p>
    <w:p w14:paraId="65EA802A" w14:textId="23B7E754" w:rsidR="003B5CA5" w:rsidRPr="000B0F3D" w:rsidRDefault="003B5CA5" w:rsidP="009D5CA9">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xml:space="preserve">Theo Báo cáo "Digital 2022 global overview report" của We are social &amp; Hootsuite, tỷ lệ người dùng Internet mua sắm hàng tuần Việt Nam đứng thứ 11 trong số các quốc gia (58,2%), ngang bằng với mức trung bình toàn cầu, cao hơn </w:t>
      </w:r>
      <w:r w:rsidRPr="000B0F3D">
        <w:rPr>
          <w:rFonts w:ascii="Times New Roman" w:eastAsia="Times New Roman" w:hAnsi="Times New Roman" w:cs="Times New Roman"/>
          <w:color w:val="000000" w:themeColor="text1"/>
          <w:kern w:val="0"/>
          <w:sz w:val="28"/>
          <w:szCs w:val="28"/>
          <w:lang w:val="vi-VN"/>
          <w14:ligatures w14:val="none"/>
        </w:rPr>
        <w:lastRenderedPageBreak/>
        <w:t>Mỹ, Australia, Pháp, Nhật Bản, Đức nhưng thấp hơn Thái Lan, Malaysia, Hàn Quốc, Trung Quốc, Singapore, Philippines, Ấn Độ, Indonesia và Anh.</w:t>
      </w:r>
    </w:p>
    <w:p w14:paraId="7043C457"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Mức tăng trưởng thương mại điện tử của Việt Nam được các hãng dự báo sẽ tiếp tục bùng nổ trong những năm tới và sẽ cán mốc 39 tỷ USD vào năm 2025.</w:t>
      </w:r>
    </w:p>
    <w:p w14:paraId="72D02BD2"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Trong toàn khu vực Đông Nam Á, Báo cáo "Kinh tế khu vực Đông Nam Á năm 2021" của Google, Temasek và Bain &amp; Company dự báo doanh thu thương mại điện tử sẽ tăng từ 120 tỷ USD vào năm 2021 lên mốc 234 tỷ USD vào năm 2025. Dự báo giá trị mua sắm trực tuyến trung bình của người tiêu dùng trực tuyến sẽ tiếp tục tăng mạnh mẽ, từ mức 381 USD/người năm 2021 lên 671 USD/người vào năm 2026. Với tỷ lệ 49%, người tiêu dùng mua sắm trực tuyến ở Việt Nam chỉ đứng sau Singapore (53%), cao hơn Indonesia và Malaysia.</w:t>
      </w:r>
    </w:p>
    <w:p w14:paraId="372E1EFC"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Với 75% người dân sử dụng Internet, Việt Nam có 74,8% người người dùng Internet tham gia mua sắm trực tuyến. Quần áo, giày dép, mỹ phẩm; thiết bị đồ dùng gia đình; đồ công nghệ và điện tử; sách, hoa, quà tặng và thực phẩm… là những loại hàng hóa dịch vụ được người tiêu dùng lựa chọn mua sắm trực tuyến nhiều nhất. Điện thoại di động tiếp tục là phương tiện chủ yếu thường được người tiêu dùng sử dụng để đặt hàng trực tuyến (chiếm 91%).</w:t>
      </w:r>
    </w:p>
    <w:p w14:paraId="7F678196"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Xây dựng hành lang pháp lý cho hoạt động thương mại điện tử</w:t>
      </w:r>
    </w:p>
    <w:p w14:paraId="40E341B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Tuy nhiên, "sân chơi" lớn này đang bị các đối tượng lợi dụng, gây ảnh hưởng nghiêm trọng đến niềm tin của người tiêu dùng, thiệt hại cho những doanh nghiệp làm ăn chân chính. Nguyên nhân bởi, thị trường này hiện đang tồn tại nhiều bất cập trong công tác quản lý các loại hình thương mại điện tử khác nhau.</w:t>
      </w:r>
    </w:p>
    <w:p w14:paraId="695DDF6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Ở đây, thương mại điện tử trên các mạng xã hội có cách thức hoạt động thường phức tạp hơn do không có đơn vị trung gian đứng ra quản lý người bán, đồng kiểm soát hàng hóa đăng bán nên phần lớn các mặt hàng này thường là nhập lậu, giả mạo các thương hiệu nổi tiếng, không có hóa đơn chứng từ. Đặc biệt, sự phát triển mạnh mẽ của thương mại điện tử, cũng như những đặc trưng của nền kinh tế số đang đặt ra nhiều thách thức cho công tác quản lý thuế đối với hoạt động này.</w:t>
      </w:r>
    </w:p>
    <w:p w14:paraId="514F5F6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xml:space="preserve">Đối với hoạt động thương mại điện tử mua bán hàng hoá, dịch vụ trong nước, thực tế cho thấy hiện nay phát sinh quá nhiều đối tượng hoạt động kinh doanh thương mại điện tử. Các giao dịch diễn ra quá nhiều và mang tính nhỏ lẻ. Thực tế cũng phát sinh trường hợp người nộp thuế không đăng ký kinh doanh, không đăng ký thuế. Cơ quan thuế không xác định được địa điểm kinh doanh, thời </w:t>
      </w:r>
      <w:r w:rsidRPr="000B0F3D">
        <w:rPr>
          <w:rFonts w:ascii="Times New Roman" w:eastAsia="Times New Roman" w:hAnsi="Times New Roman" w:cs="Times New Roman"/>
          <w:color w:val="000000" w:themeColor="text1"/>
          <w:kern w:val="0"/>
          <w:sz w:val="28"/>
          <w:szCs w:val="28"/>
          <w:lang w:val="vi-VN"/>
          <w14:ligatures w14:val="none"/>
        </w:rPr>
        <w:lastRenderedPageBreak/>
        <w:t>gian kinh doanh do hoạt động mua, bán diễn ra liên tục 24/24 giờ và tất cả các ngày trong tuần.</w:t>
      </w:r>
    </w:p>
    <w:p w14:paraId="6D0C0A72"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Đối với hoạt động thương mại điện tử xuyên biên giới cũng rất khó để xác định nguồn thu, đối tượng khi người nộp thuế không đăng ký kinh doanh, không có cơ sở kinh doanh cố định. Doanh nghiệp nước ngoài thường viện dẫn theo hiệp định thuế, xác định không có cơ sở kinh doanh cố định tại Việt Nam nên không kê khai, nộp thuế thu nhập doanh nghiệp.</w:t>
      </w:r>
    </w:p>
    <w:p w14:paraId="01F9A65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Trước những khó khăn đó, Chính phủ đã ban hành Nghị định số 85/2021/NĐ-CP về việc sửa đổi, bổ sung một số điều của Nghị định số 52/2013/NĐ-CP về thương mại điện tử, quy định chi tiết về hoạt động cung cấp dịch vụ chứng thực hợp đồng điện tử; hoàn thiện hành lang pháp lý đối với các điều kiện, nghĩa vụ và quy trình đăng ký hoạt động đối với các Tổ chức cung cấp dịch vụ chứng thực hợp đồng điện tử (CeCA - Certified eContract Authority).</w:t>
      </w:r>
    </w:p>
    <w:p w14:paraId="616DF7F1"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Nghị định có 8 điều chỉnh cơ bản gồm: Thêm chủ thể của hoạt động thương mại điện tử là dịch vụ logistic; trách nhiệm cung cấp thông tin về hàng hoá, dịch vụ của người bán; Bắt buộc công bố về chính sách kiểm hàng trên website thương mại điện tử; Facebook, Instagram... trở thành website thương mại điện tử; bổ sung thêm trách nhiệm của thương nhân, tổ chức cung cấp sàn giao dịch thương mại điện tử; đăng ký thiết lập website chỉ cần nộp giấy chứng nhận đăng ký kinh doanh bản sao; quy định chi tiết về thủ tục đăng ký hoạt động chứng thực hợp đồng điện tử; hoạt động thương mại điện tử của thương nhân, tổ chức nước ngoài…</w:t>
      </w:r>
    </w:p>
    <w:p w14:paraId="52CDD13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Năm 2022, Bộ Công thương đã ban hành Thông tư số 01/2022/TT-BCT ngày 18/1/2022 sửa đổi, bổ sung một số điều của Thông tư 47/2014/TT-BCT và Thông tư số 59/2015/TT-BCT, quy định các hướng dẫn đối với quy chế hoạt động cung cấp dịch vụ chứng thực hợp đồng điện tử; hình thức công bố danh sách các thương nhân, tổ chức cung cấp dịch vụ chứng thực hợp đồng điện tử tại Việt Nam.</w:t>
      </w:r>
    </w:p>
    <w:p w14:paraId="3CDEF9DA"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Với việc hành lang pháp lý cho hoạt động chứng thực hợp đồng điện tử tại Việt Nam cũng đã được hoàn thiện, Bộ Công Thương đã giao Cục Thương mại điện tử và Kinh tế số phối hợp cùng các cơ quan quản lý nhà nước về cạnh tranh, bảo vệ quyền lợi người tiêu dùng, các tổ chức trọng tài thương mại, các cơ quan giải quyết tranh chấp; các nhà cung cấp dịch vụ hạ tầng viễn thông, công nghệ thông tin; các tổ chức chứng thực chữ ký số, dấu thời gian; và các tập đoàn, doanh nghiệp, tổ chức ứng dụng hợp đồng điện tử… nghiên cứu, xây dựng các giải pháp hỗ trợ, phát triển, ứng dụng hợp đồng điện tử rộng rãi tại Việt Nam.</w:t>
      </w:r>
    </w:p>
    <w:p w14:paraId="5123EAC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Trục phát triển hợp đồng điện tử Việt Nam (www.CeCA.gov.vn) do Trung tâm Tin học và Công nghệ số (Cục Thương mại điện tử và Kinh tế số) phối hợp cùng các đối tác công nghệ để phát triển cũng đã được hình thành. Hệ thống Trục sẽ đóng vai trò then chốt trong việc hỗ trợ các Tổ chức Chứng thực hợp đồng điện tử trong hoạt động cung cấp dịch vụ, đồng thời cung cấp Cổng tra cứu, xác thực hợp đồng điện tử (xacthuc.CeCa.gov.vn) cho bên thứ ba. Đây được kỳ vọng sẽ là những hàng rào pháp lý trong công tác quản lý để kiểm soát tốt hơn việc mua - bán trên thị trường thương mại điện tử, hạn chế thất thoát thuế Nhà nước.</w:t>
      </w:r>
    </w:p>
    <w:p w14:paraId="69F19752" w14:textId="77777777" w:rsidR="003B5CA5" w:rsidRPr="000B0F3D" w:rsidRDefault="003B5CA5" w:rsidP="00E71244">
      <w:pPr>
        <w:ind w:firstLine="709"/>
        <w:jc w:val="both"/>
        <w:rPr>
          <w:rFonts w:ascii="Times New Roman" w:eastAsia="Times New Roman" w:hAnsi="Times New Roman" w:cs="Times New Roman"/>
          <w:b/>
          <w:color w:val="000000" w:themeColor="text1"/>
          <w:kern w:val="0"/>
          <w:sz w:val="28"/>
          <w:szCs w:val="28"/>
          <w:lang w:val="vi-VN"/>
          <w14:ligatures w14:val="none"/>
        </w:rPr>
      </w:pPr>
      <w:r w:rsidRPr="00D61E18">
        <w:rPr>
          <w:rFonts w:ascii="Times New Roman" w:eastAsia="Times New Roman" w:hAnsi="Times New Roman" w:cs="Times New Roman"/>
          <w:b/>
          <w:color w:val="000000" w:themeColor="text1"/>
          <w:kern w:val="0"/>
          <w:sz w:val="28"/>
          <w:szCs w:val="28"/>
          <w:lang w:val="vi-VN"/>
          <w14:ligatures w14:val="none"/>
        </w:rPr>
        <w:t>3. Hoàn thiện và p</w:t>
      </w:r>
      <w:r w:rsidRPr="000B0F3D">
        <w:rPr>
          <w:rFonts w:ascii="Times New Roman" w:eastAsia="Times New Roman" w:hAnsi="Times New Roman" w:cs="Times New Roman"/>
          <w:b/>
          <w:bCs/>
          <w:color w:val="000000" w:themeColor="text1"/>
          <w:kern w:val="36"/>
          <w:sz w:val="28"/>
          <w:szCs w:val="28"/>
          <w:lang w:val="vi-VN"/>
          <w14:ligatures w14:val="none"/>
        </w:rPr>
        <w:t xml:space="preserve">hát triển hợp đồng điện tử tại Việt Nam </w:t>
      </w:r>
    </w:p>
    <w:p w14:paraId="7447213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80689F">
        <w:rPr>
          <w:rFonts w:ascii="Times New Roman" w:eastAsia="Times New Roman" w:hAnsi="Times New Roman" w:cs="Times New Roman"/>
          <w:b/>
          <w:bCs/>
          <w:color w:val="000000" w:themeColor="text1"/>
          <w:kern w:val="0"/>
          <w:sz w:val="28"/>
          <w:szCs w:val="28"/>
          <w:lang w:val="vi-VN"/>
          <w14:ligatures w14:val="none"/>
        </w:rPr>
        <w:t xml:space="preserve">3.1. </w:t>
      </w:r>
      <w:r w:rsidRPr="000B0F3D">
        <w:rPr>
          <w:rFonts w:ascii="Times New Roman" w:eastAsia="Times New Roman" w:hAnsi="Times New Roman" w:cs="Times New Roman"/>
          <w:b/>
          <w:bCs/>
          <w:color w:val="000000" w:themeColor="text1"/>
          <w:kern w:val="0"/>
          <w:sz w:val="28"/>
          <w:szCs w:val="28"/>
          <w:lang w:val="vi-VN"/>
          <w14:ligatures w14:val="none"/>
        </w:rPr>
        <w:t>Hoàn thiện hành lang pháp lý cho hoạt động chứng thực hợp đồng điện tử</w:t>
      </w:r>
    </w:p>
    <w:p w14:paraId="67D33C69"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Ngày 25/9/2021, Chính phủ đã ban hành Nghị định số 85/2021/NĐ-CP về việc sửa đổi, bổ sung một số điều của Nghị định số 52/2013/NĐ-CP về thương mại điện tử, quy định chi tiết về hoạt động cung cấp dịch vụ chứng thực hợp đồng điện tử; hoàn thiện hành lang pháp lý đối với các điều kiện, nghĩa vụ và quy trình đăng ký hoạt động đối với các Tổ chức cung cấp dịch vụ chứng thực hợp đồng điện tử (CeCA – Certified eContract Authority). Năm 2022, Bộ Công Thương đã ban hành Thông tư số 01/2022/TT-BCT ngày 18 tháng 01 năm 2022 sửa đổi, bổ sung một số điều của Thông tư 47/2014/TT-BCT và Thông tư số 59/2015/TT-BCT, quy định các hướng dẫn đối với quy chế hoạt động cung cấp dịch vụ chứng thực hợp đồng điện tử; hình thức công bố danh sách các thương nhân, tổ chức cung cấp dịch vụ chứng thực hợp đồng điện tử tại Việt Nam. Như vậy, trong thời gian rất gần tới đây, trong năm 2022, người dân, doanh nghiệp sẽ có thể sử dụng hợp đồng điện tử thay thế hoàn toàn cho hợp đồng truyền thống với giải pháp chứng thực của các Tổ chức cung cung cấp dịch vụ chứng thực hợp đồng điện tử được cấp đăng ký bởi Bộ Công Thương.</w:t>
      </w:r>
    </w:p>
    <w:p w14:paraId="2DC16FC6"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p>
    <w:p w14:paraId="70E9BA6C"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Các Tổ chức cung cấp dịch vụ chứng thực hợp đồng điện tử (CeCA) sau khi được cấp đăng ký, có thể cung cấp dịch vụ chứng thực hợp đồng điện tử với quy trình đảm bảo tính bảo mật, chống chối bỏ, toàn vẹn dữ liệu và sẵn sàng khả năng kiểm tra, xác thực giá trị như bản gốc của hợp đồng điện tử.</w:t>
      </w:r>
    </w:p>
    <w:p w14:paraId="51A1A39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80689F">
        <w:rPr>
          <w:rFonts w:ascii="Times New Roman" w:eastAsia="Times New Roman" w:hAnsi="Times New Roman" w:cs="Times New Roman"/>
          <w:b/>
          <w:bCs/>
          <w:color w:val="000000" w:themeColor="text1"/>
          <w:kern w:val="0"/>
          <w:sz w:val="28"/>
          <w:szCs w:val="28"/>
          <w:lang w:val="vi-VN"/>
          <w14:ligatures w14:val="none"/>
        </w:rPr>
        <w:t xml:space="preserve">3.2. </w:t>
      </w:r>
      <w:r w:rsidRPr="000B0F3D">
        <w:rPr>
          <w:rFonts w:ascii="Times New Roman" w:eastAsia="Times New Roman" w:hAnsi="Times New Roman" w:cs="Times New Roman"/>
          <w:b/>
          <w:bCs/>
          <w:color w:val="000000" w:themeColor="text1"/>
          <w:kern w:val="0"/>
          <w:sz w:val="28"/>
          <w:szCs w:val="28"/>
          <w:lang w:val="vi-VN"/>
          <w14:ligatures w14:val="none"/>
        </w:rPr>
        <w:t>Hỗ trợ bên thứ 3 tra cứu, xác thực hợp đồng điện tử đã được chứng thực</w:t>
      </w:r>
    </w:p>
    <w:p w14:paraId="410EAAE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Song song với việc hoàn thiện hành lang pháp lý để cấp đăng ký cho các doanh nghiệp, tổ chức cung cấp dịch vụ chứng thực hợp đồng điện tử, Cục Thương mại điện tử và Kinh tế số đã giao Trung tâm Tin học và Công nghệ số nghiên cứu, phối hợp cùng các doanh nghiệp CNTT, viễn thông, hạ tầng số, để xây dựng các giải pháp hỗ trợ bên thứ 3 như ngân hàng, kiểm toán, cơ quan giải quyết tranh chấp, cơ quan thuế, các đơn vị liên quan khác; có thể kiểm tra, xác thực được giá trị như bản gốc của hợp đồng điện tử. Theo đó, dù không lưu trữ nội dung hợp đồng, với việc áp dụng một quy trình khép kín, sử dụng mã băm, kết hợp chữ ký số, dấu thời gian, hợp đồng điện tử sau khi được chứng thực sẽ có khả năng tra cứu, xác thực tính toàn vẹn, tính chống chối bỏ của chủ thể ký và đảm bảo tính bảo mật thông tin cho nội dung hợp đồng. Như vậy, bên thứ 3 sẽ không chủ động biết được nội dung hợp đồng điện tử đã ký, nhưng khi bên thứ 3 được cung cấp tài liệu hợp đồng điện tử đã được ký và chứng thực, thì việc tra cứu, xác minh giá trị như bản gốc của hợp đồng điện tử sẽ được thực hiện dễ dàng</w:t>
      </w:r>
      <w:r w:rsidRPr="0080689F">
        <w:rPr>
          <w:rFonts w:ascii="Times New Roman" w:eastAsia="Times New Roman" w:hAnsi="Times New Roman" w:cs="Times New Roman"/>
          <w:color w:val="000000" w:themeColor="text1"/>
          <w:kern w:val="0"/>
          <w:sz w:val="28"/>
          <w:szCs w:val="28"/>
          <w:lang w:val="vi-VN"/>
          <w14:ligatures w14:val="none"/>
        </w:rPr>
        <w:t xml:space="preserve">, </w:t>
      </w:r>
      <w:r w:rsidRPr="000B0F3D">
        <w:rPr>
          <w:rFonts w:ascii="Times New Roman" w:eastAsia="Times New Roman" w:hAnsi="Times New Roman" w:cs="Times New Roman"/>
          <w:color w:val="000000" w:themeColor="text1"/>
          <w:kern w:val="0"/>
          <w:sz w:val="28"/>
          <w:szCs w:val="28"/>
          <w:lang w:val="vi-VN"/>
          <w14:ligatures w14:val="none"/>
        </w:rPr>
        <w:t>mỗi giao dịch hợp đồng điện tử sẽ có gắn kèm với các quy chế về giải quyết tranh chấp, khiếu nại, xử lý các yếu tố phát sinh trong quá trình giao kết và thực thi hợp đồng. Điều này giúp cho doanh nghiệp, tổ chức, cá nhân, các bên thứ 3 có một cơ quan trung gian đủ tin cậy để giải quyết các vấn đề phát sinh khi thực hiện giao kết, hợp đồng dưới dạng điện tử. </w:t>
      </w:r>
    </w:p>
    <w:p w14:paraId="6ABF5D32"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Đến nay, sau khi Thông tư 01/2022/TT-BCT về việc sửa đổi, bổ sung một số điều của Thông tư số 47/2014/TT-BCT ngày 05/12/2014 của Bộ Công Thương quy định về quản lý website thương mại điện tử và Thông tư số 59/2015/TT-BCT ngày 31/12/2015 của Bộ Công Thương quy định về quản lý hoạt động thương mại điện tử qua ứng dụng trên thiết bị di động có hiệu lực ngày 08 tháng 3 năm 2022, Cục đang triển khai hỗ trợ các doanh nghiệp trong quá trình cấp đăng ký theo quy định. Dự kiến trong tháng 6, đầu tháng 7, các đơn vị đầu tiên đảm bảo đủ các yêu tố vận hành dịch vụ sẽ được cấp đăng ký.</w:t>
      </w:r>
    </w:p>
    <w:p w14:paraId="4A673BFA"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80689F">
        <w:rPr>
          <w:rFonts w:ascii="Times New Roman" w:eastAsia="Times New Roman" w:hAnsi="Times New Roman" w:cs="Times New Roman"/>
          <w:b/>
          <w:bCs/>
          <w:color w:val="000000" w:themeColor="text1"/>
          <w:kern w:val="0"/>
          <w:sz w:val="28"/>
          <w:szCs w:val="28"/>
          <w:lang w:val="vi-VN"/>
          <w14:ligatures w14:val="none"/>
        </w:rPr>
        <w:t xml:space="preserve">4. </w:t>
      </w:r>
      <w:r w:rsidRPr="000B0F3D">
        <w:rPr>
          <w:rFonts w:ascii="Times New Roman" w:eastAsia="Times New Roman" w:hAnsi="Times New Roman" w:cs="Times New Roman"/>
          <w:b/>
          <w:bCs/>
          <w:color w:val="000000" w:themeColor="text1"/>
          <w:kern w:val="0"/>
          <w:sz w:val="28"/>
          <w:szCs w:val="28"/>
          <w:lang w:val="vi-VN"/>
          <w14:ligatures w14:val="none"/>
        </w:rPr>
        <w:t>Ra mắt Trục phát triển hợp đồng điện tử Việt Nam</w:t>
      </w:r>
    </w:p>
    <w:p w14:paraId="7574C67A"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Trục phát triển hợp đồng điện tử Việt Nam (www.CeCA.gov.vn) do Trung tâm Tin học và Công nghệ số phối hợp cùng các đối tác công nghệ để phát triển. Hệ thống Trục sẽ đóng vai trò then chốt trong việc hỗ trợ các Tổ chức Chứng thực hợp đồng điện tử trong hoạt động cung cấp dịch vụ, đồng thời cung cấp Cổng tra cứu, xác thực hợp đồng điện tử (xacthuc.CeCa.gov.vn) cho bên thứ ba.</w:t>
      </w:r>
    </w:p>
    <w:p w14:paraId="1BEF1C4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p>
    <w:p w14:paraId="3F1D71B1"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6 đơn vị CeCA tương lai các doanh nghiệp công nghệ đã ký kết triển khai tích hợp với Cục Thương mại điện tử và Kinh tế số về hệ thống Trục phát triển hợp đồng điện tử Việt Nam với mục tiêu thúc đẩy hoạt động chuyển đổi số tại Việt Nam, xây dựng hạ tầng thúc đẩy thương mại điện tử an toàn, nhanh chóng, tiện lợi, bảo mật. </w:t>
      </w:r>
    </w:p>
    <w:p w14:paraId="679F6439"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Việc Bộ Công Thương ra mắt hệ thống xác thực hợp đồng điện tử sẽ giúp các tổ chức, doanh nghiệp và cá nhân có thêm căn cứ và cơ sở triển khai hình thức ký kết từ xa một cách rộng rãi và ứng dụng cho mọi lĩnh vực hoạt động, kinh doanh trong đời sống xã hội. Hiện hợp đồng điện tử hiện tại đã có đủ các căn cứ pháp lý tương đương với hợp đồng giấy. Nay có thêm việc xác minh nội dung hợp đồng bởi Bộ Công Thương qua Trục phát triển hợp đồng điện tử Việt Nam CeCA, các bên tham gia hợp đồng đã có được sự xác thực thông tin bởi cơ quan nhà nước cho tài liệu đã ký kết. Với Dấu thời gian và con dấu điện tử từ Bộ Công Thương trên tài liệu đã ký, các bên tham gia ký kết hoàn toàn có thể ứng dụng làm căn cứ trong các hoạt động kinh doanh, pháp lý cần xác thực của mình. </w:t>
      </w:r>
    </w:p>
    <w:p w14:paraId="68D4BF23" w14:textId="77777777" w:rsidR="003B5CA5" w:rsidRPr="0080689F" w:rsidRDefault="003B5CA5" w:rsidP="00E71244">
      <w:pPr>
        <w:ind w:firstLine="709"/>
        <w:jc w:val="both"/>
        <w:rPr>
          <w:rFonts w:ascii="Times New Roman" w:hAnsi="Times New Roman" w:cs="Times New Roman"/>
          <w:color w:val="000000" w:themeColor="text1"/>
          <w:sz w:val="28"/>
          <w:szCs w:val="28"/>
          <w:lang w:val="vi-VN"/>
        </w:rPr>
      </w:pPr>
      <w:r w:rsidRPr="0080689F">
        <w:rPr>
          <w:rFonts w:ascii="Times New Roman" w:hAnsi="Times New Roman" w:cs="Times New Roman"/>
          <w:color w:val="000000" w:themeColor="text1"/>
          <w:sz w:val="28"/>
          <w:szCs w:val="28"/>
          <w:lang w:val="vi-VN"/>
        </w:rPr>
        <w:t>5. Những đơn vị được trao giấy xác nhận đăng ký cung cấp dịch vụ chứng thực hợp đồng điện tử hiện nay</w:t>
      </w:r>
    </w:p>
    <w:p w14:paraId="44B59927"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 xml:space="preserve">Đến thời điểm này, sau thời gian hỗ trợ, hướng dẫn về trình tự thủ tục, pháp lý, các tiêu chuẩn kỹ thuật của dịch vụ, đã có 5 đơn vị đầu tiên được Bộ Công Thương (Cục Thương mại điện tử và Kinh tế số) thẩm định hồ sơ đạt yêu cầu cấp xác nhận đăng ký cung cấp dịch vụ chứng thực hợp đồng điện tử tại Việt Nam. 5 đơn vị đầu </w:t>
      </w:r>
    </w:p>
    <w:p w14:paraId="05C1352E" w14:textId="77777777" w:rsidR="003B5CA5" w:rsidRPr="009D5CA9" w:rsidRDefault="003B5CA5" w:rsidP="00E71244">
      <w:pPr>
        <w:ind w:firstLine="709"/>
        <w:jc w:val="both"/>
        <w:rPr>
          <w:rFonts w:ascii="Times New Roman" w:eastAsia="Times New Roman" w:hAnsi="Times New Roman" w:cs="Times New Roman"/>
          <w:color w:val="000000" w:themeColor="text1"/>
          <w:spacing w:val="-4"/>
          <w:kern w:val="0"/>
          <w:sz w:val="28"/>
          <w:szCs w:val="28"/>
          <w:lang w:val="vi-VN"/>
          <w14:ligatures w14:val="none"/>
        </w:rPr>
      </w:pPr>
      <w:r w:rsidRPr="009D5CA9">
        <w:rPr>
          <w:rFonts w:ascii="Times New Roman" w:eastAsia="Times New Roman" w:hAnsi="Times New Roman" w:cs="Times New Roman"/>
          <w:b/>
          <w:bCs/>
          <w:color w:val="000000" w:themeColor="text1"/>
          <w:spacing w:val="-4"/>
          <w:kern w:val="0"/>
          <w:sz w:val="28"/>
          <w:szCs w:val="28"/>
          <w:lang w:val="vi-VN"/>
          <w14:ligatures w14:val="none"/>
        </w:rPr>
        <w:t>Cầu nối cho các Tổ chức cung cấp dịch vụ chứng thực hợp đồng điện tử </w:t>
      </w:r>
    </w:p>
    <w:p w14:paraId="6021C82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Vai trò của Chuyển đổi số là vô cùng quan trọng đối với sự phát triển kinh tế của đất nước hiện nay. Phát triển và ứng dụng Hợp đồng điện tử trong xã hội là mục tiêu quan trọng trong kế hoạch chuyển đổi số của Chính phủ được ban hành tại Quyết định số 411/QĐ-TTg ngày 31 tháng 3 năm 2022 phê duyệt chiến lược quốc gia phát triển kinh tế số và xã hội số đến năm 2025, định hướng đến năm 2030 và Quyết định số 27/QĐ-UBQGCĐS về kế hoạch của Ủy ban Quốc gia về chuyển đổi số năm 2022, theo kế hoạch đã ban hành, mục tiêu Chính phủ đã đặt ra là đến năm 2025 có 80% doanh nghiệp ứng dụng Hợp đồng điện tử và 2030 đạt 100% doanh nghiệp ứng dụng Hợp đồng điện tử. </w:t>
      </w:r>
    </w:p>
    <w:p w14:paraId="00209E63" w14:textId="6132592E" w:rsidR="003B5CA5" w:rsidRPr="000B0F3D" w:rsidRDefault="003B5CA5" w:rsidP="009D5CA9">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 xml:space="preserve">5 đơn vị đầu tiên đủ điều kiện cung cấp dịch vụ chứng thực hợp đồng điện tử là FPT, VIETTEL, MOBIFONE, BKAV và CMC. Hiện tại đây đều là những </w:t>
      </w:r>
      <w:r w:rsidRPr="000B0F3D">
        <w:rPr>
          <w:rFonts w:ascii="Times New Roman" w:eastAsia="Times New Roman" w:hAnsi="Times New Roman" w:cs="Times New Roman"/>
          <w:color w:val="000000" w:themeColor="text1"/>
          <w:kern w:val="0"/>
          <w:sz w:val="28"/>
          <w:szCs w:val="28"/>
          <w:lang w:val="vi-VN"/>
          <w14:ligatures w14:val="none"/>
        </w:rPr>
        <w:lastRenderedPageBreak/>
        <w:t>Tập đoàn, Công ty hàng đầu tại Việt Nam về các giải pháp công nghệ thông tin và Viễn thông.</w:t>
      </w:r>
    </w:p>
    <w:p w14:paraId="7E68DB82"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80689F">
        <w:rPr>
          <w:rFonts w:ascii="Times New Roman" w:eastAsia="Times New Roman" w:hAnsi="Times New Roman" w:cs="Times New Roman"/>
          <w:color w:val="000000" w:themeColor="text1"/>
          <w:kern w:val="0"/>
          <w:sz w:val="28"/>
          <w:szCs w:val="28"/>
          <w:lang w:val="vi-VN"/>
          <w14:ligatures w14:val="none"/>
        </w:rPr>
        <w:t xml:space="preserve">Trách nhiệm của </w:t>
      </w:r>
      <w:r w:rsidRPr="000B0F3D">
        <w:rPr>
          <w:rFonts w:ascii="Times New Roman" w:eastAsia="Times New Roman" w:hAnsi="Times New Roman" w:cs="Times New Roman"/>
          <w:color w:val="000000" w:themeColor="text1"/>
          <w:kern w:val="0"/>
          <w:sz w:val="28"/>
          <w:szCs w:val="28"/>
          <w:lang w:val="vi-VN"/>
          <w14:ligatures w14:val="none"/>
        </w:rPr>
        <w:t xml:space="preserve">các doanh nghiệp được cấp đăng ký thực hiện nghiêm túc các quy định </w:t>
      </w:r>
      <w:r w:rsidRPr="0080689F">
        <w:rPr>
          <w:rFonts w:ascii="Times New Roman" w:eastAsia="Times New Roman" w:hAnsi="Times New Roman" w:cs="Times New Roman"/>
          <w:color w:val="000000" w:themeColor="text1"/>
          <w:kern w:val="0"/>
          <w:sz w:val="28"/>
          <w:szCs w:val="28"/>
          <w:lang w:val="vi-VN"/>
          <w14:ligatures w14:val="none"/>
        </w:rPr>
        <w:t>sau:</w:t>
      </w:r>
    </w:p>
    <w:p w14:paraId="17B9F621"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Một là,</w:t>
      </w:r>
      <w:r w:rsidRPr="000B0F3D">
        <w:rPr>
          <w:rFonts w:ascii="Times New Roman" w:eastAsia="Times New Roman" w:hAnsi="Times New Roman" w:cs="Times New Roman"/>
          <w:color w:val="000000" w:themeColor="text1"/>
          <w:kern w:val="0"/>
          <w:sz w:val="28"/>
          <w:szCs w:val="28"/>
          <w:lang w:val="vi-VN"/>
          <w14:ligatures w14:val="none"/>
        </w:rPr>
        <w:t> các Tổ chức cung cấp dịch vụ xác thực hợp đồng điện tử phải đảm bảo tuân thủ các nội dung Đề án cung cấp dịch vụ đã trình và được phê duyệt. Cục Thương mại điện tử và Kinh tế số sẽ thường xuyên thẩm tra, kiểm tra giám sát việc hiện của các đơn vị và có thể Hủy bỏ, Chấm dứt đăng ký với các CeCA không thực hiện đúng các nội dung Đề án;</w:t>
      </w:r>
    </w:p>
    <w:p w14:paraId="54240111"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Hai là,</w:t>
      </w:r>
      <w:r w:rsidRPr="000B0F3D">
        <w:rPr>
          <w:rFonts w:ascii="Times New Roman" w:eastAsia="Times New Roman" w:hAnsi="Times New Roman" w:cs="Times New Roman"/>
          <w:color w:val="000000" w:themeColor="text1"/>
          <w:kern w:val="0"/>
          <w:sz w:val="28"/>
          <w:szCs w:val="28"/>
          <w:lang w:val="vi-VN"/>
          <w14:ligatures w14:val="none"/>
        </w:rPr>
        <w:t> các Tổ chức xác thực hợp đồng điện tử có nhiệm vụ xây dựng, quản lý, duy trì, vận hành hệ thống hợp đồng điện tử kết nối với Trục phát triển hợp đồng điện tử Việt Nam, chịu trách nhiệm về tính bảo mật, toàn vẹn, không thể chối bỏ của các hợp đồng điện tử mà mình lưu trữ và xác thực, góp phần thúc đẩy chủ trương chuyển đổi số quốc gia của Thủ tướng Chính phủ;</w:t>
      </w:r>
    </w:p>
    <w:p w14:paraId="0449C20B"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Ba là</w:t>
      </w:r>
      <w:r w:rsidRPr="000B0F3D">
        <w:rPr>
          <w:rFonts w:ascii="Times New Roman" w:eastAsia="Times New Roman" w:hAnsi="Times New Roman" w:cs="Times New Roman"/>
          <w:color w:val="000000" w:themeColor="text1"/>
          <w:kern w:val="0"/>
          <w:sz w:val="28"/>
          <w:szCs w:val="28"/>
          <w:lang w:val="vi-VN"/>
          <w14:ligatures w14:val="none"/>
        </w:rPr>
        <w:t>, Trung tâm Tin học và Công nghệ số cần đảm bảo triển khai hệ thống Trục phát triển hợp đồng điện tử Việt Nam đáp ứng các nhu cầu thiết yếu của các đơn vị, sớm kết nối với các hệ thống của Bộ Công An, Bộ Tư pháp, các cơ quan hòa giải, trọng tài thương mại và các nhà cung cấp dịch vụ để hỗ trợ cho các CeCA và doanh nghiệp, cá nhân ứng dụng hợp đồng điện tử;</w:t>
      </w:r>
    </w:p>
    <w:p w14:paraId="1CA5E3CF"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Bên cạnh đó, các tổ chức đã có hệ thống ký kết điện tử có nhu cầu xác thực tính pháp lý cho nội dung hợp đồng, có thể thông qua FPT.CeCA để xác thực với dấu thời gian và chữ ký số của Bộ Công Thương.</w:t>
      </w:r>
    </w:p>
    <w:p w14:paraId="23213E70" w14:textId="77777777" w:rsidR="003B5CA5" w:rsidRPr="0080689F" w:rsidRDefault="003B5CA5" w:rsidP="00E71244">
      <w:pPr>
        <w:ind w:firstLine="709"/>
        <w:jc w:val="both"/>
        <w:rPr>
          <w:rFonts w:ascii="Times New Roman" w:hAnsi="Times New Roman" w:cs="Times New Roman"/>
          <w:color w:val="000000" w:themeColor="text1"/>
          <w:sz w:val="28"/>
          <w:szCs w:val="28"/>
          <w:lang w:val="vi-VN"/>
        </w:rPr>
      </w:pPr>
    </w:p>
    <w:p w14:paraId="14ACB8E2" w14:textId="77777777" w:rsidR="00D61E18" w:rsidRPr="000B0F3D" w:rsidRDefault="00D61E18">
      <w:pPr>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br w:type="page"/>
      </w:r>
    </w:p>
    <w:p w14:paraId="61390EFB" w14:textId="77777777" w:rsidR="009D5CA9" w:rsidRDefault="00D61E18" w:rsidP="009D5CA9">
      <w:pPr>
        <w:jc w:val="center"/>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lastRenderedPageBreak/>
        <w:t>THỰC TRẠNG CÁC QUY ĐỊNH PHÁP LUẬT</w:t>
      </w:r>
    </w:p>
    <w:p w14:paraId="4D5FA0BC" w14:textId="2E35CE53" w:rsidR="003B5CA5" w:rsidRPr="000B0F3D" w:rsidRDefault="00D61E18" w:rsidP="009D5CA9">
      <w:pPr>
        <w:jc w:val="center"/>
        <w:rPr>
          <w:rFonts w:ascii="Times New Roman" w:eastAsia="Times New Roman" w:hAnsi="Times New Roman" w:cs="Times New Roman"/>
          <w:b/>
          <w:bCs/>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VỀ HỢP ĐỒNG THÔNG MINH VÀ MỘT SỐ GIẢI PHÁP HOÀN THIỆN</w:t>
      </w:r>
    </w:p>
    <w:p w14:paraId="68A61E91" w14:textId="69F7A64D" w:rsidR="003B5CA5" w:rsidRDefault="00D61E18" w:rsidP="00D61E18">
      <w:pPr>
        <w:ind w:firstLine="709"/>
        <w:jc w:val="right"/>
        <w:rPr>
          <w:rFonts w:ascii="Times New Roman" w:eastAsia="Times New Roman" w:hAnsi="Times New Roman" w:cs="Times New Roman"/>
          <w:b/>
          <w:bCs/>
          <w:i/>
          <w:iCs/>
          <w:color w:val="000000" w:themeColor="text1"/>
          <w:kern w:val="0"/>
          <w:sz w:val="28"/>
          <w:szCs w:val="28"/>
          <w:lang w:val="vi-VN"/>
          <w14:ligatures w14:val="none"/>
        </w:rPr>
      </w:pPr>
      <w:r w:rsidRPr="000B0F3D">
        <w:rPr>
          <w:rFonts w:ascii="Times New Roman" w:eastAsia="Times New Roman" w:hAnsi="Times New Roman" w:cs="Times New Roman"/>
          <w:b/>
          <w:bCs/>
          <w:i/>
          <w:color w:val="000000" w:themeColor="text1"/>
          <w:kern w:val="0"/>
          <w:sz w:val="28"/>
          <w:szCs w:val="28"/>
          <w:lang w:val="vi-VN"/>
          <w14:ligatures w14:val="none"/>
        </w:rPr>
        <w:t xml:space="preserve">Nguyễn Phạm Thảo Linh </w:t>
      </w:r>
      <w:r w:rsidRPr="000B0F3D">
        <w:rPr>
          <w:rFonts w:ascii="Times New Roman" w:eastAsia="Times New Roman" w:hAnsi="Times New Roman" w:cs="Times New Roman"/>
          <w:b/>
          <w:bCs/>
          <w:i/>
          <w:color w:val="000000" w:themeColor="text1"/>
          <w:kern w:val="0"/>
          <w:sz w:val="28"/>
          <w:szCs w:val="28"/>
          <w:lang w:val="vi-VN"/>
          <w14:ligatures w14:val="none"/>
        </w:rPr>
        <w:br/>
      </w:r>
      <w:r w:rsidR="003B5CA5" w:rsidRPr="000B0F3D">
        <w:rPr>
          <w:rFonts w:ascii="Times New Roman" w:eastAsia="Times New Roman" w:hAnsi="Times New Roman" w:cs="Times New Roman"/>
          <w:b/>
          <w:bCs/>
          <w:i/>
          <w:color w:val="000000" w:themeColor="text1"/>
          <w:kern w:val="0"/>
          <w:sz w:val="28"/>
          <w:szCs w:val="28"/>
          <w:lang w:val="vi-VN"/>
          <w14:ligatures w14:val="none"/>
        </w:rPr>
        <w:t>(Công ty Luật Hợp danh Hùng Vương)</w:t>
      </w:r>
    </w:p>
    <w:p w14:paraId="5CB3C764" w14:textId="77777777" w:rsidR="009D5CA9" w:rsidRPr="000B0F3D" w:rsidRDefault="009D5CA9" w:rsidP="00D61E18">
      <w:pPr>
        <w:ind w:firstLine="709"/>
        <w:jc w:val="right"/>
        <w:rPr>
          <w:rFonts w:ascii="Times New Roman" w:eastAsia="Times New Roman" w:hAnsi="Times New Roman" w:cs="Times New Roman"/>
          <w:b/>
          <w:bCs/>
          <w:i/>
          <w:iCs/>
          <w:color w:val="000000" w:themeColor="text1"/>
          <w:kern w:val="0"/>
          <w:sz w:val="28"/>
          <w:szCs w:val="28"/>
          <w:lang w:val="vi-VN"/>
          <w14:ligatures w14:val="none"/>
        </w:rPr>
      </w:pPr>
    </w:p>
    <w:p w14:paraId="47EF8B73" w14:textId="77777777" w:rsidR="003B5CA5" w:rsidRPr="000B0F3D" w:rsidRDefault="003B5CA5" w:rsidP="00E71244">
      <w:pPr>
        <w:ind w:firstLine="709"/>
        <w:jc w:val="both"/>
        <w:rPr>
          <w:rFonts w:ascii="Times New Roman" w:eastAsia="Times New Roman" w:hAnsi="Times New Roman" w:cs="Times New Roman"/>
          <w:i/>
          <w:iCs/>
          <w:color w:val="000000" w:themeColor="text1"/>
          <w:kern w:val="0"/>
          <w:sz w:val="28"/>
          <w:szCs w:val="28"/>
          <w:lang w:val="vi-VN"/>
          <w14:ligatures w14:val="none"/>
        </w:rPr>
      </w:pPr>
      <w:r w:rsidRPr="000B0F3D">
        <w:rPr>
          <w:rFonts w:ascii="Times New Roman" w:eastAsia="Times New Roman" w:hAnsi="Times New Roman" w:cs="Times New Roman"/>
          <w:b/>
          <w:bCs/>
          <w:i/>
          <w:iCs/>
          <w:color w:val="000000" w:themeColor="text1"/>
          <w:kern w:val="0"/>
          <w:sz w:val="28"/>
          <w:szCs w:val="28"/>
          <w:lang w:val="vi-VN"/>
          <w14:ligatures w14:val="none"/>
        </w:rPr>
        <w:t>Phần lớn các quốc gia trên thế giới hiện nay, trong đó có Việt Nam, vẫn chưa thực sự hoàn thiện pháp luật điều chỉnh Hợp đồng thông minh, khiến việc thực hiện loại hợp đồng này còn chưa phổ biến do tiềm ẩn nhiều rủi ro. Vì vậy, một yêu cầu cấp thiết đặt ra là phải sớm xây dựng những chính sách để kịp thời điều chỉnh việc triển khai ứng dụng ngày càng trở nên phổ biến này.</w:t>
      </w:r>
    </w:p>
    <w:p w14:paraId="4BC58E66"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Sự bùng nổ của Internet được coi là chất xúc tác của nền kinh tế toàn cầu. Như một nhu cầu tất yếu khách quan, các tổ chức tài chính hiện nay đang dần bắt kịp xu hướng ứng dụng những công nghệ mới nhằm cắt giảm chi phí, thời gian, nhân sự và đảm bảo tính an toàn, bảo mật mà một trong những nghiên cứu mang tính đột phá đang thu hút sự quan tâm to lớn của không chỉ các doanh nghiệp mà cả các chính phủ, đó là Hợp đồng thông minh (hay còn gọi là Smart Contract). Do là công nghệ mới nên việc sử dụng Smart Contract vẫn còn mới mẻ so với hợp đồng truyền thống, bên cạnh đó, cũng kéo theo việc phát sinh nhiều vấn đề về mặt pháp lý.</w:t>
      </w:r>
    </w:p>
    <w:p w14:paraId="74F4ADC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1. Thực trạng các quy định pháp luật về Hợp đồng thông minh</w:t>
      </w:r>
    </w:p>
    <w:p w14:paraId="69BC8E0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Hợp đồng thông minh (sau đây viết tắt là HĐTM) là một bước tiến mới mẻ với công nghệ phức tạp mà nhiều lập trình viên các các nhà khoa học đã đưa ra những khái niệm liên quan đến hợp đồng này, tuy nhiên đều không thực sự thỏa đáng về mặt pháp lý và không được công nhận. Trong khi đó, nhiều quốc gia trên thế giới cũng đã từng đề cập đến khái niệm Smart Contract thông qua một số đạo luật nhưng các định nghĩa này chỉ dừng lại ở khía cạnh pháp lý và còn chưa phân tích sâu theo lĩnh vực công nghệ. Cách hiểu đầy đủ nhất về Hợp đồng thông minh là: </w:t>
      </w:r>
      <w:r w:rsidRPr="000B0F3D">
        <w:rPr>
          <w:rFonts w:ascii="Times New Roman" w:eastAsia="Times New Roman" w:hAnsi="Times New Roman" w:cs="Times New Roman"/>
          <w:i/>
          <w:iCs/>
          <w:color w:val="000000" w:themeColor="text1"/>
          <w:kern w:val="0"/>
          <w:sz w:val="28"/>
          <w:szCs w:val="28"/>
          <w:lang w:val="vi-VN"/>
          <w14:ligatures w14:val="none"/>
        </w:rPr>
        <w:t>“Hợp đồng thông minh là một giao thức đặc biệt trên máy tính, có khả năng tự động thực hiện các điều khoản, thỏa thuận giữa các bên trong hợp đồng dựa trên sự hỗ trợ của nền tảng công nghệ Blockchain – mạng lưới phân tán, phi tập trung. Các điều khoản trong loại hợp đồng này tương đương với một hợp đồng có giá trị pháp lý và được ghi lại dưới ngôn ngữ của lập trình.”</w:t>
      </w:r>
    </w:p>
    <w:p w14:paraId="01A09203"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Thực tiễn hiện nay, pháp luật Việt Nam vẫn chưa có một quy định cụ thể nào dành cho Hợp đồng thông minh. Vì vậy, tác giả sẽ phân tích những quy định pháp luật hiện hành có thể được áp dụng như thế nào trong việc điều chỉnh các vấn đề pháp lý đặt ra đối với Hợp đồng thông minh tại Việt Nam hiện nay thông qua việc đặt ra và trả lời những câu hỏi mấu chốt.</w:t>
      </w:r>
      <w:bookmarkStart w:id="5" w:name="_Toc69831497"/>
      <w:bookmarkEnd w:id="5"/>
    </w:p>
    <w:p w14:paraId="080E21CF"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i/>
          <w:iCs/>
          <w:color w:val="000000" w:themeColor="text1"/>
          <w:kern w:val="0"/>
          <w:sz w:val="28"/>
          <w:szCs w:val="28"/>
          <w:lang w:val="vi-VN"/>
          <w14:ligatures w14:val="none"/>
        </w:rPr>
        <w:t>1.1. Hiệu lực của Hợp đồng thông minh</w:t>
      </w:r>
    </w:p>
    <w:p w14:paraId="2133B5D4"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Câu hỏi quan trọng đầu tiên cần ưu tiên giải quyết là liệu chúng ta có nên coi HĐTM như một hợp đồng truyền thống hay chỉ là một công cụ hỗ trợ cho việc thực hiện các nghĩa vụ trong hợp đồng? Hiện nay, có hai luồng quan điểm như sau:</w:t>
      </w:r>
    </w:p>
    <w:p w14:paraId="57D34AC3"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nhất, HĐTM được xem xét về mặt tư cách pháp lí giống như hợp đồng truyền thống. </w:t>
      </w:r>
      <w:r w:rsidRPr="000B0F3D">
        <w:rPr>
          <w:rFonts w:ascii="Times New Roman" w:eastAsia="Times New Roman" w:hAnsi="Times New Roman" w:cs="Times New Roman"/>
          <w:color w:val="000000" w:themeColor="text1"/>
          <w:kern w:val="0"/>
          <w:sz w:val="28"/>
          <w:szCs w:val="28"/>
          <w:lang w:val="vi-VN"/>
          <w14:ligatures w14:val="none"/>
        </w:rPr>
        <w:t>Trong trường hợp này, về bản chất, HĐTM cũng là một giao dịch dân sự. Do đó để HĐTM có hiệu lực cần thoả mãn 3 yếu tố: </w:t>
      </w:r>
      <w:r w:rsidRPr="000B0F3D">
        <w:rPr>
          <w:rFonts w:ascii="Times New Roman" w:eastAsia="Times New Roman" w:hAnsi="Times New Roman" w:cs="Times New Roman"/>
          <w:i/>
          <w:iCs/>
          <w:color w:val="000000" w:themeColor="text1"/>
          <w:kern w:val="0"/>
          <w:sz w:val="28"/>
          <w:szCs w:val="28"/>
          <w:lang w:val="vi-VN"/>
          <w14:ligatures w14:val="none"/>
        </w:rPr>
        <w:t>“(i) Chủ thể tham gia giao dịch phải có năng lực pháp luật, năng lực hành vi dân sự phù hợp với giao dịch; (ii) Về ý chí của chủ thể: chủ thể tham gia giao dịch hoàn toàn tự nguyện; (iii) Điều kiện về mục đích và nội dung của giao dịch dân sự phải phù hợp với pháp luật”.</w:t>
      </w:r>
    </w:p>
    <w:p w14:paraId="5FE7FAA2"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Tất cả các tiêu chí trên sẽ được phân tích chi tiết ở phần 1.2 của bài viết này. Ngoài ra, một yếu tố khác khi xét đến hiệu lực của hợp đồng, đó là thời điểm có hiệu lực của hợp đồng. Khác với hợp đồng truyền thống, HĐTM chỉ có hiệu lực ngay tại thời điểm người đề nghị giao kết hợp đồng xác nhận lại giao dịch một lần nữa. Và với nguyên lí hoạt động nêu trên, HĐTM được xác lập và kí kết thì hợp đồng sẽ có hiệu lực ngay tại thời điểm đó theo Bộ luật Dân sự 2015.</w:t>
      </w:r>
    </w:p>
    <w:p w14:paraId="61870EA3"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Vậy có thể coi HĐTM là điều khoản của HĐ sau khi được mã hoá lên hệ thống là không thể thay đổi. Vì thế, các chủ thể tham gia giao kết HĐTM có thể tránh được nguy cơ bị lừa đảo, hay bị thay đổi nội dung hợp đồng. Không chỉ có vậy, bất cứ sự thay đổi nào về hợp đồng đều được ghi nhận lại và các phiên bản hợp đồng trước đều được lưu lại đầy đủ trên blockchain</w:t>
      </w:r>
      <w:hyperlink r:id="rId30" w:anchor="_ftn1" w:history="1">
        <w:r w:rsidRPr="000B0F3D">
          <w:rPr>
            <w:rFonts w:ascii="Times New Roman" w:eastAsia="Times New Roman" w:hAnsi="Times New Roman" w:cs="Times New Roman"/>
            <w:color w:val="000000" w:themeColor="text1"/>
            <w:kern w:val="0"/>
            <w:sz w:val="28"/>
            <w:szCs w:val="28"/>
            <w:u w:val="single"/>
            <w:vertAlign w:val="superscript"/>
            <w:lang w:val="vi-VN"/>
            <w14:ligatures w14:val="none"/>
          </w:rPr>
          <w:t>[1]</w:t>
        </w:r>
      </w:hyperlink>
      <w:r w:rsidRPr="000B0F3D">
        <w:rPr>
          <w:rFonts w:ascii="Times New Roman" w:eastAsia="Times New Roman" w:hAnsi="Times New Roman" w:cs="Times New Roman"/>
          <w:color w:val="000000" w:themeColor="text1"/>
          <w:kern w:val="0"/>
          <w:sz w:val="28"/>
          <w:szCs w:val="28"/>
          <w:lang w:val="vi-VN"/>
          <w14:ligatures w14:val="none"/>
        </w:rPr>
        <w:t>.</w:t>
      </w:r>
    </w:p>
    <w:p w14:paraId="154971B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shd w:val="clear" w:color="auto" w:fill="FFFFFF"/>
          <w:lang w:val="vi-VN"/>
          <w14:ligatures w14:val="none"/>
        </w:rPr>
        <w:t>Trong khi đó, quan điểm thứ hai lại cho rằng chỉ nên coi HĐTM là một công cụ hữu ích trong việc hỗ trợ cho việc thực hiện các nghĩa vụ trong hợp đồng, giao dịch dân sự.</w:t>
      </w:r>
      <w:r w:rsidRPr="000B0F3D">
        <w:rPr>
          <w:rFonts w:ascii="Times New Roman" w:eastAsia="Times New Roman" w:hAnsi="Times New Roman" w:cs="Times New Roman"/>
          <w:color w:val="000000" w:themeColor="text1"/>
          <w:kern w:val="0"/>
          <w:sz w:val="28"/>
          <w:szCs w:val="28"/>
          <w:shd w:val="clear" w:color="auto" w:fill="FFFFFF"/>
          <w:lang w:val="vi-VN"/>
          <w14:ligatures w14:val="none"/>
        </w:rPr>
        <w:t> Theo trường phái này, HĐTM hỗ trợ đàm phán, xác định các thoả thuận và là đối tượng chịu sự điều chỉnh bởi LSHTT. Nói cách khác, trong trường hợp này, HĐTM không có hiệu lực pháp lý. Khi xảy ra lỗi phát sinh, bạn sẽ không được bảo vệ quyền lợi của mình.</w:t>
      </w:r>
    </w:p>
    <w:p w14:paraId="3D9D1010"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Để có thể tồn tại độc lập và được thừa nhận về mặt pháp lý như một hợp đồng, SC vẫn còn gặp phải rất nhiều rào cản mà cốt lõi chính là sự khác biệt giữa những quy định về hợp đồng trong hệ thống pháp luật Việt Nam hiện hành với phương thức vận hành của HĐTM. Tác giả cho rằng, việc công nhận hợp đồng thông minh với tư cách là 1 hợp đồng truyền thống là cần thiết để đảm bảo được quyền và lợi ích hợp pháp của các bên. Nội dung của bài viết dưới đây sẽ tập trung khai thác và phân tích các quy định về hợp đồng thông minh dựa trên quan điểm này.</w:t>
      </w:r>
    </w:p>
    <w:p w14:paraId="4D7E1CB0"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2.1. Giao kết hợp đồng thông minh</w:t>
      </w:r>
    </w:p>
    <w:p w14:paraId="7A1F74D5"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1.2.1. Chủ thể</w:t>
      </w:r>
    </w:p>
    <w:p w14:paraId="23D21AF9"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Cũng giống như hợp đồng truyền thống, HĐTM khi được Nhà nước trao cho một tư cách pháp lý, cũng không thể bỏ qua những lưu ý về mặt chủ thể. Tuy nhiên, chủ thể của HĐTM có sự đặc thù so với các chủ thể thông thường bởi khi tham gia HĐTM, sẽ rất khó để xác định được liệu chủ thể xác lập SC có đủ tuổi xác lập giao dịch dân sự hay chưa… Điều này có thể gây khó khăn cho các bên khi tham gia giao kết hợp đồng và việc kiểm soát quản lý của cơ quan Nhà nước bởi theo luật, các bên tham gia giao kết hợp đồng phải là người có đầy đủ năng lực pháp luật và năng lực hành vi dân sự.</w:t>
      </w:r>
    </w:p>
    <w:p w14:paraId="4E618538"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1.2.2. Hình thức</w:t>
      </w:r>
    </w:p>
    <w:p w14:paraId="0E40891E"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Không thể hoàn toàn coi HĐTM giống như một hợp đồng điện tử bởi suy cho cùng, cơ chế vận hành của hai loại hợp đồng này không hoàn toàn giống nhau. HĐTM hoạt động trong môi trường phi tập trung, không chịu bất kì sự quản lí nào. Như vậy, tìm một tên gọi khác cho hình thức của hợp đồng dưới dạng HĐTM hoặc chỉ còn cách chờ đợi cho đến chừng nào cải thiện được công nghệ mà cho phép có sự tham gia quản lí của Nhà nước thì mới có thể “mạnh dạn” coi HĐTM là một hợp đồng điện tử. </w:t>
      </w:r>
    </w:p>
    <w:p w14:paraId="5CD8FA38"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1.2.3. Nội dung</w:t>
      </w:r>
    </w:p>
    <w:p w14:paraId="0B042AA3"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xml:space="preserve">Đối với HĐTM, điều khoản hợp đồng không thể sửa đổi sau khi đã mã hoá các dòng lệnh. Điều này đã phần nào gây trở ngại cho các bên bởi trên thực tế có thể xuất hiện những trở ngại trái với mong muốn của con người. Cách duy nhất để tạm khắc phục tình trạng trên chính là các bên phải dự liệu được trước đó khả năng việc thực hiện hợp đồng có thể bị thay đổi và liệt kê ra những trường hợp đó qua việc mã hóa dòng lệnh. Đây được coi là một bài toán khó bởi SC đã loại bỏ đi yếu tố thoả thuận trong quá trình giao kết, cũng như thực hiện hợp đồng và các </w:t>
      </w:r>
      <w:r w:rsidRPr="0080689F">
        <w:rPr>
          <w:rFonts w:ascii="Times New Roman" w:eastAsia="Times New Roman" w:hAnsi="Times New Roman" w:cs="Times New Roman"/>
          <w:color w:val="000000" w:themeColor="text1"/>
          <w:kern w:val="0"/>
          <w:sz w:val="28"/>
          <w:szCs w:val="28"/>
          <w14:ligatures w14:val="none"/>
        </w:rPr>
        <w:lastRenderedPageBreak/>
        <w:t>điều khoản loại trừ ở đây chỉ có thể được đảm bảo một cách tương đối, nhiều rủi ro.</w:t>
      </w:r>
    </w:p>
    <w:p w14:paraId="39E45F18"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1.2.4. Trình tự giao kết và thực hiện HĐTM</w:t>
      </w:r>
    </w:p>
    <w:p w14:paraId="0920F82F"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Quá trình giao kết hợp đồng bao gồm đề nghị giao kết hợp đồng và chấp nhận đề nghị giao kết hợp đồng. Vấn đề đặt ra cho SC là nếu tất cả thông tin đều được mã hoá trên blockchain, thì làm sao xác định được sự đồng thuận của các bên khi họ đều là những tài khoản tham gia không thể xác định? Nếu đã bỏ qua yếu tố thỏa thuận của các bên thì SC nên được xem xét như một hợp đồng thương lượng hay hợp đồng gia nhập?</w:t>
      </w:r>
    </w:p>
    <w:p w14:paraId="50DDDC18"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Thứ nhất, về yếu tố thỏa thuận. </w:t>
      </w:r>
      <w:r w:rsidRPr="0080689F">
        <w:rPr>
          <w:rFonts w:ascii="Times New Roman" w:eastAsia="Times New Roman" w:hAnsi="Times New Roman" w:cs="Times New Roman"/>
          <w:color w:val="000000" w:themeColor="text1"/>
          <w:kern w:val="0"/>
          <w:sz w:val="28"/>
          <w:szCs w:val="28"/>
          <w14:ligatures w14:val="none"/>
        </w:rPr>
        <w:t>Mọi quá trình xác lập SC đều thực hiện trên hệ thống mã hoá, tức là không có sự trao đổi trực tiếp bằng ngôn ngữ thông thường, nên việc có đảm bảo được bên chấp nhận đề nghị đã hiểu được đúng và đề nghị giao kết hợp đồng hay chưa cũng là câu hỏi lớn khi các thuật toán và dòng lệnh khá phức tạp. Có thể nói, HĐTM đã loại bỏ yếu tố thoả thuận, đàm phán của các bên.</w:t>
      </w:r>
    </w:p>
    <w:p w14:paraId="6A516752"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Vậy có thể coi HĐTM là hợp đồng gia nhập hay hợp đồng thương lượng? Khi so sánh sự thỏa thuận trong hợp đồng thông thường với HĐTM, có thể thấy rằng, sự thỏa thuận trong HĐTM đã bị rút ngắn do quá trình đàm phán, thương lượng không được hình thành giữa các bên tham gia giao kết, hay nói một cách khác thì sự thỏa thuận chỉ mang tính lý thuyết. Bên còn lại chỉ có thể xem xét các điều khoản và đưa ra. Như vậy, về cơ bản, thì ý chí của hai bên vẫn được thể hiện trong quá trình giao kết HĐTM, song quá trình tương tác các ý chí để từ đó hai bên đồng ý đi đến ràng buộc quyền và nghĩa vụ với nhau trong hợp đồng không tồn tại.</w:t>
      </w:r>
    </w:p>
    <w:p w14:paraId="4FF5B67D"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shd w:val="clear" w:color="auto" w:fill="FFFFFF"/>
          <w14:ligatures w14:val="none"/>
        </w:rPr>
        <w:t>Sự phát triển của khoa học, kỹ thuật và kinh tế đã làm thay đổi bản chất truyền thống của hợp đồng thể hiện ở việc loại HĐTM xuất hiện. Trong bối cảnh đó, pháp luật cần phải xây dựng những quy chế pháp lý đặc thù cho HĐTM để vừa không ảnh hưởng tới quá trình thỏa thuận, vừa cân bằng được lợi ích hợp pháp của các bên.</w:t>
      </w:r>
    </w:p>
    <w:p w14:paraId="2066C35C"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shd w:val="clear" w:color="auto" w:fill="FFFFFF"/>
          <w14:ligatures w14:val="none"/>
        </w:rPr>
        <w:t>Thứ hai, hủy bỏ HĐTM. </w:t>
      </w:r>
      <w:r w:rsidRPr="0080689F">
        <w:rPr>
          <w:rFonts w:ascii="Times New Roman" w:eastAsia="Times New Roman" w:hAnsi="Times New Roman" w:cs="Times New Roman"/>
          <w:color w:val="000000" w:themeColor="text1"/>
          <w:kern w:val="0"/>
          <w:sz w:val="28"/>
          <w:szCs w:val="28"/>
          <w:shd w:val="clear" w:color="auto" w:fill="FFFFFF"/>
          <w14:ligatures w14:val="none"/>
        </w:rPr>
        <w:t>Các điều khoản của HĐTM không thể bị sửa đổi bổ sung, và nếu phát sinh vấn đề không thể giải quyết trong quá trình giao kết, HĐTM cũng không thể bị hủy bỏ. Tuy nhiên, đặc điểm nổi bật này của SC cũng gây nên mâu thuẫn, khi đã bỏ qua “quyền huỷ bỏ hợp đồng” của các bên.</w:t>
      </w:r>
    </w:p>
    <w:p w14:paraId="2161741E"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lastRenderedPageBreak/>
        <w:t>2. Một số giải pháp nhằm hoàn thiện pháp luật về Hợp đồng thông minh</w:t>
      </w:r>
    </w:p>
    <w:p w14:paraId="32B0789E"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Dựa vào quá trình tìm hiểu và kinh nghiệm từ các quốc gia trên thế giới, tác giả mạn phép được đưa ra một số giải pháp:</w:t>
      </w:r>
    </w:p>
    <w:p w14:paraId="37101772"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Thứ nhất, có sự công nhận về giá trị pháp lý của những Hợp đồng thông minh. </w:t>
      </w:r>
      <w:r w:rsidRPr="0080689F">
        <w:rPr>
          <w:rFonts w:ascii="Times New Roman" w:eastAsia="Times New Roman" w:hAnsi="Times New Roman" w:cs="Times New Roman"/>
          <w:color w:val="000000" w:themeColor="text1"/>
          <w:kern w:val="0"/>
          <w:sz w:val="28"/>
          <w:szCs w:val="28"/>
          <w14:ligatures w14:val="none"/>
        </w:rPr>
        <w:t>Hiện nay, pháp luật đang quy định một cách gián tiếp về những vấn đề pháp lý liên quan đến Smart Contracts khi đáp ứng đầy đủ những tiêu chí, điều kiện của một hợp đồng điện tử hay một giao dịch hợp pháp. Do vậy, vấn đề áp dụng Hợp đồng thông minh trên thực tế đang gặp rất nhiều khó khăn do Hợp đồng thông minh có thể khiến cho các doanh nghiệp rụt rè và e ngại. Để giải quyết thực trạng trên, pháp luật Việt Nam nên được điều chỉnh theo hướng chính thức công nhận giá trị pháp lý của Hợp đồng thông minh. </w:t>
      </w:r>
    </w:p>
    <w:p w14:paraId="7F604647"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Thứ hai, đưa ra những hướng dẫn cụ thể để xác định tính hiệu lực của Hợp đồng thông minh. </w:t>
      </w:r>
      <w:r w:rsidRPr="0080689F">
        <w:rPr>
          <w:rFonts w:ascii="Times New Roman" w:eastAsia="Times New Roman" w:hAnsi="Times New Roman" w:cs="Times New Roman"/>
          <w:color w:val="000000" w:themeColor="text1"/>
          <w:kern w:val="0"/>
          <w:sz w:val="28"/>
          <w:szCs w:val="28"/>
          <w14:ligatures w14:val="none"/>
        </w:rPr>
        <w:t>Sau khi được công nhận tính pháp lý, Hợp đồng thông minh cần có những quy định rõ ràng hơn về hiệu lực để có thể áp dụng vào thực tiễn xã hội. Chính phủ Việt Nam có thể tham khảo cách xử lý của Hoa Kỳ và Ba Lan như ban hành các quy định về “Giấy chứng minh sự đồng thuận” hay Nhà nước cũng có thể tiếp tục nghiên cứu việc thành lập một cơ quan chuyên trách, thực hiện việc đăng ký, sử dụng giúp giới hạn và quản lý số lượng người tham gia Hợp đồng thông minh thay vì sử dụng “Giấy chứng minh sự đồng thuận” để bảo đảm tính bảo mật thông tin người dùng. Đối với điều kiện về mục đích và nội dung của giao dịch, mặc dù chưa có giải pháp cụ thể cho vấn đề này, tuy nhiên Chính phủ có thể phát triển nguồn nhân lực và khoa học công nghệ chất lượng cao để giải quyết vấn đề này.</w:t>
      </w:r>
    </w:p>
    <w:p w14:paraId="2B751824"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Thứ ba, cần thiết phải có những quy định cụ thể về vấn đề giao kết hợp đồng. </w:t>
      </w:r>
      <w:r w:rsidRPr="0080689F">
        <w:rPr>
          <w:rFonts w:ascii="Times New Roman" w:eastAsia="Times New Roman" w:hAnsi="Times New Roman" w:cs="Times New Roman"/>
          <w:color w:val="000000" w:themeColor="text1"/>
          <w:kern w:val="0"/>
          <w:sz w:val="28"/>
          <w:szCs w:val="28"/>
          <w14:ligatures w14:val="none"/>
        </w:rPr>
        <w:t>Hiện nay, pháp luật Việt Nam chưa quy định rõ ràng về việc điều chỉnh thời gian giao kết hợp đồng và xác định địa điểm giao kết hợp đồng. Việt Nam có thể tham khảo những quy định của pháp luật Thái Lan trong việc xác định thời điểm giao kết để có những bổ sung hợp lý đối với những quy định hiện hành. Hơn nữa, nên đưa ra những quy định cởi mở hơn để giải quyết vướng mắc liên quan đến địa điểm giao kết. </w:t>
      </w:r>
    </w:p>
    <w:p w14:paraId="462BEAC7"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Thứ tư, cần những quy định cụ thể hướng dẫn việc thực hiện hợp đồng. </w:t>
      </w:r>
      <w:r w:rsidRPr="0080689F">
        <w:rPr>
          <w:rFonts w:ascii="Times New Roman" w:eastAsia="Times New Roman" w:hAnsi="Times New Roman" w:cs="Times New Roman"/>
          <w:color w:val="000000" w:themeColor="text1"/>
          <w:kern w:val="0"/>
          <w:sz w:val="28"/>
          <w:szCs w:val="28"/>
          <w14:ligatures w14:val="none"/>
        </w:rPr>
        <w:t xml:space="preserve">Pháp luật Việt Nam nên nghiên cứu một cách cụ thể hơn để tìm ra những quy định thích hợp trong vấn đề thực hiện hợp đồng. Điểm mấu chốt để có thể tìm ra câu trả lời cho những vướng mắc, mâu thuẫn khi đi vào tìm hiểu bản chất của </w:t>
      </w:r>
      <w:r w:rsidRPr="0080689F">
        <w:rPr>
          <w:rFonts w:ascii="Times New Roman" w:eastAsia="Times New Roman" w:hAnsi="Times New Roman" w:cs="Times New Roman"/>
          <w:color w:val="000000" w:themeColor="text1"/>
          <w:kern w:val="0"/>
          <w:sz w:val="28"/>
          <w:szCs w:val="28"/>
          <w14:ligatures w14:val="none"/>
        </w:rPr>
        <w:lastRenderedPageBreak/>
        <w:t>ứng dụng. Từ đó có thể đưa ra những quy định pháp luật cho vấn về hướng dẫn thực hiện Hợp đồng thông minh. </w:t>
      </w:r>
    </w:p>
    <w:p w14:paraId="1DDABBFF"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Thứ năm, pháp luật Việt Nam nên hợp pháp hóa hình thức thanh toán bằng Bitcoin. </w:t>
      </w:r>
      <w:r w:rsidRPr="0080689F">
        <w:rPr>
          <w:rFonts w:ascii="Times New Roman" w:eastAsia="Times New Roman" w:hAnsi="Times New Roman" w:cs="Times New Roman"/>
          <w:color w:val="000000" w:themeColor="text1"/>
          <w:kern w:val="0"/>
          <w:sz w:val="28"/>
          <w:szCs w:val="28"/>
          <w14:ligatures w14:val="none"/>
        </w:rPr>
        <w:t>Trong các giao dịch của Hợp đồng thông minh, các bên giao dịch với nhau trực tiếp trên hệ thống, điều này sẽ gây khó khăn trong quá trình quản lý và giám sát của nhà nước. Khi ban hành những quy định pháp lý về dòng tiền ảo hay tiền mã hóa sẽ giúp cho nhà nước kiểm soát và quản lý chặt chẽ các nguồn thu và khi giải quyết những tranh chấp phát sinh trên nền tảng công nghệ số, tòa án sẽ không còn băn khoăn về hình thức bồi thường thiệt hại, xử lý vi phạm Hợp đồng thông minh như thế nào do Tòa án có thể sử dụng đồng tiền mã hóa là đối tượng được bồi thường.</w:t>
      </w:r>
    </w:p>
    <w:p w14:paraId="6B6AE819"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i/>
          <w:iCs/>
          <w:color w:val="000000" w:themeColor="text1"/>
          <w:kern w:val="0"/>
          <w:sz w:val="28"/>
          <w:szCs w:val="28"/>
          <w14:ligatures w14:val="none"/>
        </w:rPr>
        <w:t>Thứ sáu, bổ sung những quy định hướng dẫn cụ thể liên quan đến việc giải quyết tranh chấp. </w:t>
      </w:r>
      <w:r w:rsidRPr="0080689F">
        <w:rPr>
          <w:rFonts w:ascii="Times New Roman" w:eastAsia="Times New Roman" w:hAnsi="Times New Roman" w:cs="Times New Roman"/>
          <w:color w:val="000000" w:themeColor="text1"/>
          <w:kern w:val="0"/>
          <w:sz w:val="28"/>
          <w:szCs w:val="28"/>
          <w14:ligatures w14:val="none"/>
        </w:rPr>
        <w:t>Xét ở một số khía cạnh liên quan đến vấn đề trên, nước ta có thể học hỏi và tiếp thu những kinh nghiệm của các quốc gia đi trước và thực tế pháp luật hiện hành. Cụ thể như sau:</w:t>
      </w:r>
    </w:p>
    <w:p w14:paraId="7F56E557"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Về vấn đề xác định hình thức hợp đồng:</w:t>
      </w:r>
    </w:p>
    <w:p w14:paraId="43A927ED"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Quy định hình thức của hợp đồng “bắt buộc phải bằng văn bản” sẽ đi ngược với những tiêu chí cập nhật, ổn định và lâu dài của pháp luật. Tuy nhiên, cần phải hiểu rằng, quy định pháp luật của mỗi quốc gia là khác nhau, nếu Việt Nam áp dụng theo cách này của các quốc gia trên thế giới có thể gây ra những rủi ro lớn đối với những giao dịch cần công chứng, chứng thực hay những giao dịch cụ thể liên quan đến tài sản thuộc sở hữu nhà nước cụ thể là đất đai. Vướng mắc về việc áp dụng biện pháp khẩn cấp.</w:t>
      </w:r>
    </w:p>
    <w:p w14:paraId="4B6D8989"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Việc áp dụng các biện pháp khẩn cấp tạm thời hay việc ra phán quyết và thực thi phán quyết sẽ được thực hiện một cách nhanh chóng và an toàn khi Chính phủ Việt Nam hợp pháp hóa đồng Bitcoin, đồng tiền thanh toán chủ yếu của Blockchain. </w:t>
      </w:r>
    </w:p>
    <w:p w14:paraId="44422FD3"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Về hiệu lực hợp đồng, giải quyết tranh chấp và giao kết hợp đồng</w:t>
      </w:r>
    </w:p>
    <w:p w14:paraId="3A319070"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xml:space="preserve">Các vấn đề trên có thể được giải quyết và tháo gỡ thông qua việc thành lập một Hợp đồng thông minh mẫu do cơ quan nhà nước ban hành, có sẵn những điều khoản cơ bản bao gồm các vướng mắc hiện hữu, có tính hợp pháp, bao gồm toàn bộ những vướng mắc nổi cộm hiện nay, có thể coi nó là một sự chỉ dẫn cụ thể cho cá nhân, doanh nghiệp tham gia sử dụng. Người dùng sẽ cảm thấy an toàn hơn khi </w:t>
      </w:r>
      <w:r w:rsidRPr="0080689F">
        <w:rPr>
          <w:rFonts w:ascii="Times New Roman" w:eastAsia="Times New Roman" w:hAnsi="Times New Roman" w:cs="Times New Roman"/>
          <w:color w:val="000000" w:themeColor="text1"/>
          <w:kern w:val="0"/>
          <w:sz w:val="28"/>
          <w:szCs w:val="28"/>
          <w14:ligatures w14:val="none"/>
        </w:rPr>
        <w:lastRenderedPageBreak/>
        <w:t>tiếp cận Smart Contract vì có thể lường trước những rủi ro có thể xảy ra trong tương lai.</w:t>
      </w:r>
    </w:p>
    <w:p w14:paraId="1A7EE9EA"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b/>
          <w:bCs/>
          <w:color w:val="000000" w:themeColor="text1"/>
          <w:kern w:val="0"/>
          <w:sz w:val="28"/>
          <w:szCs w:val="28"/>
          <w14:ligatures w14:val="none"/>
        </w:rPr>
        <w:t>3. Kết luận</w:t>
      </w:r>
    </w:p>
    <w:p w14:paraId="11E06597"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HĐTM là một trong những “niềm tự hào” của Cách mạng Công nghệ 4.0 bởi nó mang những tính năng vượt trội so với những hợp đồng giấy hay điện tử truyền thống.  Có thể thấy rằng, Hợp đồng thông minh là một hiện tượng mới không chỉ phức tạp về mặt kỹ thuật mà còn đặt ra nhiều thách thức về mặt pháp lý. Qua phân tích các quy định của Việt Nam hiện hành liên quan đến quan hệ pháp luật hợp đồng thông qua BLDS 2015, Luật Giao dịch điện tử 2005.., có thể nhận ra những mặt hạn chế trong những quy định pháp luật của nước ta về hợp đồng. Qua đó, cần ý thức và hoàn thiện pháp luật để giải quyết những vấn đề nổi cộm cần được điều chỉnh của Hợp đồng thông minh. Trên đây là những kết quả nghiên cứu cốt lõi của đề tài với kì vọng sẽ đóng góp một cái nhìn tổng quan nhất về tình hình ứng dụng Hợp đồng thông minh mà trọng tâm là nhằm chỉ ra những vấn đề pháp lí cốt lõi để điều chỉnh loại hợp đồng này. Việc hoàn thiện hành lang pháp lí cho những vấn đề mới như Hợp đồng thông minh để người dân, doanh nghiệp có thể tự tin hào mình vào dòng chảy phát triển của thể giới là điều mà một Chính phủ kiến tạo cần làm được.</w:t>
      </w:r>
      <w:bookmarkStart w:id="6" w:name="_2p2csry"/>
      <w:bookmarkStart w:id="7" w:name="_3o7alnk"/>
      <w:bookmarkEnd w:id="6"/>
      <w:bookmarkEnd w:id="7"/>
    </w:p>
    <w:p w14:paraId="68A61271" w14:textId="77777777" w:rsidR="003B5CA5" w:rsidRPr="0080689F" w:rsidRDefault="003B5CA5" w:rsidP="00E71244">
      <w:pPr>
        <w:ind w:firstLine="709"/>
        <w:jc w:val="both"/>
        <w:rPr>
          <w:rFonts w:ascii="Times New Roman" w:eastAsia="Times New Roman" w:hAnsi="Times New Roman" w:cs="Times New Roman"/>
          <w:color w:val="000000" w:themeColor="text1"/>
          <w:kern w:val="0"/>
          <w:sz w:val="28"/>
          <w:szCs w:val="28"/>
          <w14:ligatures w14:val="none"/>
        </w:rPr>
      </w:pPr>
      <w:r w:rsidRPr="0080689F">
        <w:rPr>
          <w:rFonts w:ascii="Times New Roman" w:eastAsia="Times New Roman" w:hAnsi="Times New Roman" w:cs="Times New Roman"/>
          <w:color w:val="000000" w:themeColor="text1"/>
          <w:kern w:val="0"/>
          <w:sz w:val="28"/>
          <w:szCs w:val="28"/>
          <w14:ligatures w14:val="none"/>
        </w:rPr>
        <w:t> </w:t>
      </w:r>
    </w:p>
    <w:p w14:paraId="461E68EB" w14:textId="77777777" w:rsidR="003B5CA5" w:rsidRPr="0080689F" w:rsidRDefault="003B5CA5" w:rsidP="00E71244">
      <w:pPr>
        <w:ind w:firstLine="709"/>
        <w:jc w:val="both"/>
        <w:rPr>
          <w:rFonts w:ascii="Times New Roman" w:hAnsi="Times New Roman" w:cs="Times New Roman"/>
          <w:color w:val="000000" w:themeColor="text1"/>
          <w:sz w:val="28"/>
          <w:szCs w:val="28"/>
        </w:rPr>
      </w:pPr>
    </w:p>
    <w:p w14:paraId="42140F5F" w14:textId="77777777" w:rsidR="00D61E18" w:rsidRDefault="00D61E18">
      <w:pPr>
        <w:rPr>
          <w:rFonts w:ascii="Times New Roman" w:eastAsia="Times New Roman" w:hAnsi="Times New Roman" w:cs="Times New Roman"/>
          <w:b/>
          <w:bCs/>
          <w:color w:val="000000" w:themeColor="text1"/>
          <w:kern w:val="36"/>
          <w:sz w:val="28"/>
          <w:szCs w:val="28"/>
          <w14:ligatures w14:val="none"/>
        </w:rPr>
      </w:pPr>
      <w:r>
        <w:rPr>
          <w:rFonts w:ascii="Times New Roman" w:eastAsia="Times New Roman" w:hAnsi="Times New Roman" w:cs="Times New Roman"/>
          <w:b/>
          <w:bCs/>
          <w:color w:val="000000" w:themeColor="text1"/>
          <w:kern w:val="36"/>
          <w:sz w:val="28"/>
          <w:szCs w:val="28"/>
          <w14:ligatures w14:val="none"/>
        </w:rPr>
        <w:br w:type="page"/>
      </w:r>
    </w:p>
    <w:p w14:paraId="134D5D5C" w14:textId="7C855E6B" w:rsidR="009D5CA9" w:rsidRDefault="009D5CA9" w:rsidP="009D5CA9">
      <w:pPr>
        <w:jc w:val="center"/>
        <w:rPr>
          <w:rFonts w:ascii="Times New Roman" w:eastAsia="Times New Roman" w:hAnsi="Times New Roman" w:cs="Times New Roman"/>
          <w:b/>
          <w:bCs/>
          <w:color w:val="000000" w:themeColor="text1"/>
          <w:kern w:val="36"/>
          <w:sz w:val="28"/>
          <w:szCs w:val="28"/>
          <w14:ligatures w14:val="none"/>
        </w:rPr>
      </w:pPr>
      <w:r w:rsidRPr="009D5CA9">
        <w:rPr>
          <w:rFonts w:ascii="Times New Roman" w:eastAsia="Times New Roman" w:hAnsi="Times New Roman" w:cs="Times New Roman"/>
          <w:b/>
          <w:bCs/>
          <w:color w:val="000000" w:themeColor="text1"/>
          <w:kern w:val="36"/>
          <w:sz w:val="28"/>
          <w:szCs w:val="28"/>
          <w14:ligatures w14:val="none"/>
        </w:rPr>
        <w:lastRenderedPageBreak/>
        <w:t>CÁC HÌNH THỨC HUY ĐỘNG VỐN PHI TRUYỀN THỐNG CHO DOANH NGHIỆP – KIẾN NGHỊ HOÀN THIỆN PHÁP LUẬT</w:t>
      </w:r>
    </w:p>
    <w:p w14:paraId="23843B70" w14:textId="4E533F26" w:rsidR="009D5CA9" w:rsidRDefault="009D5CA9" w:rsidP="009D5CA9">
      <w:pPr>
        <w:jc w:val="center"/>
        <w:rPr>
          <w:rFonts w:ascii="Times New Roman" w:eastAsia="Times New Roman" w:hAnsi="Times New Roman" w:cs="Times New Roman"/>
          <w:b/>
          <w:bCs/>
          <w:color w:val="000000" w:themeColor="text1"/>
          <w:kern w:val="36"/>
          <w:sz w:val="28"/>
          <w:szCs w:val="28"/>
          <w14:ligatures w14:val="none"/>
        </w:rPr>
      </w:pPr>
      <w:r>
        <w:rPr>
          <w:rFonts w:ascii="Times New Roman" w:eastAsia="Times New Roman" w:hAnsi="Times New Roman" w:cs="Times New Roman"/>
          <w:b/>
          <w:bCs/>
          <w:color w:val="000000" w:themeColor="text1"/>
          <w:kern w:val="36"/>
          <w:sz w:val="28"/>
          <w:szCs w:val="28"/>
          <w14:ligatures w14:val="none"/>
        </w:rPr>
        <w:t>Luật sư Lê Văn Dương</w:t>
      </w:r>
    </w:p>
    <w:p w14:paraId="6AAA6E1F" w14:textId="59459FE4" w:rsidR="009D5CA9" w:rsidRDefault="009D5CA9" w:rsidP="009D5CA9">
      <w:pPr>
        <w:jc w:val="center"/>
        <w:rPr>
          <w:rFonts w:ascii="Times New Roman" w:eastAsia="Times New Roman" w:hAnsi="Times New Roman" w:cs="Times New Roman"/>
          <w:b/>
          <w:bCs/>
          <w:color w:val="000000" w:themeColor="text1"/>
          <w:kern w:val="36"/>
          <w:sz w:val="28"/>
          <w:szCs w:val="28"/>
          <w14:ligatures w14:val="none"/>
        </w:rPr>
      </w:pPr>
      <w:r>
        <w:rPr>
          <w:rFonts w:ascii="Times New Roman" w:eastAsia="Times New Roman" w:hAnsi="Times New Roman" w:cs="Times New Roman"/>
          <w:b/>
          <w:bCs/>
          <w:color w:val="000000" w:themeColor="text1"/>
          <w:kern w:val="36"/>
          <w:sz w:val="28"/>
          <w:szCs w:val="28"/>
          <w14:ligatures w14:val="none"/>
        </w:rPr>
        <w:t>Công ty Luật TNHH Tư vấn quốc tế (Indochine Counsel)</w:t>
      </w:r>
    </w:p>
    <w:p w14:paraId="0B18F4AB" w14:textId="77777777" w:rsidR="009D5CA9" w:rsidRDefault="009D5CA9" w:rsidP="00E71244">
      <w:pPr>
        <w:ind w:firstLine="709"/>
        <w:jc w:val="both"/>
        <w:rPr>
          <w:rFonts w:ascii="Times New Roman" w:eastAsia="Times New Roman" w:hAnsi="Times New Roman" w:cs="Times New Roman"/>
          <w:i/>
          <w:iCs/>
          <w:color w:val="000000" w:themeColor="text1"/>
          <w:kern w:val="0"/>
          <w:sz w:val="28"/>
          <w:szCs w:val="28"/>
          <w14:ligatures w14:val="none"/>
        </w:rPr>
      </w:pPr>
    </w:p>
    <w:p w14:paraId="05D0123A" w14:textId="5B67E241" w:rsidR="009D5CA9" w:rsidRDefault="009D5CA9" w:rsidP="00E71244">
      <w:pPr>
        <w:ind w:firstLine="709"/>
        <w:jc w:val="both"/>
        <w:rPr>
          <w:rFonts w:ascii="Times New Roman" w:eastAsia="Times New Roman" w:hAnsi="Times New Roman" w:cs="Times New Roman"/>
          <w:i/>
          <w:iCs/>
          <w:color w:val="000000" w:themeColor="text1"/>
          <w:kern w:val="0"/>
          <w:sz w:val="28"/>
          <w:szCs w:val="28"/>
          <w14:ligatures w14:val="none"/>
        </w:rPr>
      </w:pPr>
      <w:r w:rsidRPr="009D5CA9">
        <w:rPr>
          <w:rFonts w:ascii="Times New Roman" w:eastAsia="Times New Roman" w:hAnsi="Times New Roman" w:cs="Times New Roman"/>
          <w:i/>
          <w:iCs/>
          <w:color w:val="000000" w:themeColor="text1"/>
          <w:kern w:val="0"/>
          <w:sz w:val="28"/>
          <w:szCs w:val="28"/>
          <w14:ligatures w14:val="none"/>
        </w:rPr>
        <w:t xml:space="preserve">rong hoạt động sản xuất, kinh doanh hiện nay nhu cầu tăng vốn, mở rộng thị trường là một trong những nhu cầu cấp thiết để tăng khả năng hội nhập và cạnh tranh của doanh nghiệp. Tùy theo lại hình doanh nghiệp và các đặc điểm cụ thể, mỗi doanh nghiệp có thể có các phương thức tạo vốn và huy động vốn khác nhau… </w:t>
      </w:r>
      <w:r>
        <w:rPr>
          <w:rFonts w:ascii="Times New Roman" w:eastAsia="Times New Roman" w:hAnsi="Times New Roman" w:cs="Times New Roman"/>
          <w:i/>
          <w:iCs/>
          <w:color w:val="000000" w:themeColor="text1"/>
          <w:kern w:val="0"/>
          <w:sz w:val="28"/>
          <w:szCs w:val="28"/>
          <w14:ligatures w14:val="none"/>
        </w:rPr>
        <w:t>Ngoài các hình thức huy động vốn truyền thống như vốn góp ban đầu, huy động vốn từ lợi nhuận không chia, phát hành cổ phiếu, tín dụng… Doanh nghiệp hiện nay có thể áp dụng các hình thức huy động vốn phi truyền thống.</w:t>
      </w:r>
    </w:p>
    <w:p w14:paraId="64AE1834" w14:textId="5E091855" w:rsidR="009D5CA9" w:rsidRPr="009D5CA9" w:rsidRDefault="009D5CA9" w:rsidP="00E71244">
      <w:pPr>
        <w:ind w:firstLine="709"/>
        <w:jc w:val="both"/>
        <w:rPr>
          <w:rFonts w:ascii="Times New Roman" w:eastAsia="Times New Roman" w:hAnsi="Times New Roman" w:cs="Times New Roman"/>
          <w:b/>
          <w:color w:val="000000" w:themeColor="text1"/>
          <w:kern w:val="0"/>
          <w:sz w:val="28"/>
          <w:szCs w:val="28"/>
          <w14:ligatures w14:val="none"/>
        </w:rPr>
      </w:pPr>
      <w:r w:rsidRPr="009D5CA9">
        <w:rPr>
          <w:rFonts w:ascii="Times New Roman" w:eastAsia="Times New Roman" w:hAnsi="Times New Roman" w:cs="Times New Roman"/>
          <w:b/>
          <w:color w:val="000000" w:themeColor="text1"/>
          <w:kern w:val="0"/>
          <w:sz w:val="28"/>
          <w:szCs w:val="28"/>
          <w14:ligatures w14:val="none"/>
        </w:rPr>
        <w:t>Huy động vốn cộng đồng (Crowdfunding)</w:t>
      </w:r>
    </w:p>
    <w:p w14:paraId="59B92186" w14:textId="1821811B" w:rsidR="00582C10" w:rsidRP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14:ligatures w14:val="none"/>
        </w:rPr>
        <w:t>1. Khái niệm, đặc điểm</w:t>
      </w:r>
    </w:p>
    <w:p w14:paraId="349EEC71" w14:textId="224C0719" w:rsidR="00582C10" w:rsidRDefault="009D5CA9" w:rsidP="00582C10">
      <w:pPr>
        <w:ind w:firstLine="709"/>
        <w:jc w:val="both"/>
        <w:rPr>
          <w:rFonts w:ascii="Times New Roman" w:eastAsia="Times New Roman" w:hAnsi="Times New Roman" w:cs="Times New Roman"/>
          <w:color w:val="000000" w:themeColor="text1"/>
          <w:kern w:val="0"/>
          <w:sz w:val="28"/>
          <w:szCs w:val="28"/>
          <w14:ligatures w14:val="none"/>
        </w:rPr>
      </w:pPr>
      <w:r w:rsidRPr="009D5CA9">
        <w:rPr>
          <w:rFonts w:ascii="Times New Roman" w:eastAsia="Times New Roman" w:hAnsi="Times New Roman" w:cs="Times New Roman"/>
          <w:color w:val="000000" w:themeColor="text1"/>
          <w:kern w:val="0"/>
          <w:sz w:val="28"/>
          <w:szCs w:val="28"/>
          <w14:ligatures w14:val="none"/>
        </w:rPr>
        <w:t>Huy động vốn cộng đồng (crowdfunding) là khái niệm lần</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đầu xuất hiện trên thế giới vào những năm 90, nhưng mãi</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đến giai đoạn 2005-2009, khái niệm này mới được quan tâm</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một cách rộng rãi. Huy động vốn cộng đồng là một phương</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thức huy động vốn mới nhằm tăng khả năng thực hiện các dự</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án khác nhau, thường là các ý tưởng kinh doanh mới, ở giai</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đoạn đầu triển khai dự án kinh doanh của các doanh nghiệp</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nhỏ và siêu nhỏ, dựa trên nguồn lực từ một nhóm người sẵn</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sàng tài trợ cho những dự án này, với việc chuyển một khoản</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tiền nhỏ qua một kênh huy động dựa trên nền tảng internet.</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Động cơ của các nhà đầu tư có thể khác nhau, như hoạt động</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thiện nguyện hay vì lợi ích kinh tế như ưu đãi về sản phẩm,</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hoặc thậm chí là cổ phần, cố phiếu trong tương lai.</w:t>
      </w:r>
      <w:r w:rsidR="00582C10">
        <w:rPr>
          <w:rFonts w:ascii="Times New Roman" w:eastAsia="Times New Roman" w:hAnsi="Times New Roman" w:cs="Times New Roman"/>
          <w:color w:val="000000" w:themeColor="text1"/>
          <w:kern w:val="0"/>
          <w:sz w:val="28"/>
          <w:szCs w:val="28"/>
          <w14:ligatures w14:val="none"/>
        </w:rPr>
        <w:t xml:space="preserve"> </w:t>
      </w:r>
    </w:p>
    <w:p w14:paraId="393043F4" w14:textId="77777777" w:rsidR="00582C10" w:rsidRDefault="009D5CA9" w:rsidP="00582C10">
      <w:pPr>
        <w:ind w:firstLine="709"/>
        <w:jc w:val="both"/>
        <w:rPr>
          <w:rFonts w:ascii="Times New Roman" w:eastAsia="Times New Roman" w:hAnsi="Times New Roman" w:cs="Times New Roman"/>
          <w:color w:val="000000" w:themeColor="text1"/>
          <w:kern w:val="0"/>
          <w:sz w:val="28"/>
          <w:szCs w:val="28"/>
          <w14:ligatures w14:val="none"/>
        </w:rPr>
      </w:pPr>
      <w:r w:rsidRPr="009D5CA9">
        <w:rPr>
          <w:rFonts w:ascii="Times New Roman" w:eastAsia="Times New Roman" w:hAnsi="Times New Roman" w:cs="Times New Roman"/>
          <w:color w:val="000000" w:themeColor="text1"/>
          <w:kern w:val="0"/>
          <w:sz w:val="28"/>
          <w:szCs w:val="28"/>
          <w14:ligatures w14:val="none"/>
        </w:rPr>
        <w:t>Dựa trên khái niệm về crowdfunding và những nghiên</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cứu trước đây, có thể điểm qua một số đặc điểm của hoạt</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động này:</w:t>
      </w:r>
    </w:p>
    <w:p w14:paraId="61D8731A" w14:textId="77777777" w:rsidR="00582C10" w:rsidRDefault="009D5CA9" w:rsidP="00582C10">
      <w:pPr>
        <w:ind w:firstLine="709"/>
        <w:jc w:val="both"/>
        <w:rPr>
          <w:rFonts w:ascii="Times New Roman" w:eastAsia="Times New Roman" w:hAnsi="Times New Roman" w:cs="Times New Roman"/>
          <w:color w:val="000000" w:themeColor="text1"/>
          <w:kern w:val="0"/>
          <w:sz w:val="28"/>
          <w:szCs w:val="28"/>
          <w14:ligatures w14:val="none"/>
        </w:rPr>
      </w:pPr>
      <w:r w:rsidRPr="009D5CA9">
        <w:rPr>
          <w:rFonts w:ascii="Times New Roman" w:eastAsia="Times New Roman" w:hAnsi="Times New Roman" w:cs="Times New Roman"/>
          <w:color w:val="000000" w:themeColor="text1"/>
          <w:kern w:val="0"/>
          <w:sz w:val="28"/>
          <w:szCs w:val="28"/>
          <w14:ligatures w14:val="none"/>
        </w:rPr>
        <w:t>- Thứ nhất, hoạt động dựa trên nền tảng liên lạc thông</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qua ứng dụng của mạng internet;</w:t>
      </w:r>
    </w:p>
    <w:p w14:paraId="3F397249" w14:textId="5B013D70" w:rsidR="009D5CA9" w:rsidRPr="009D5CA9" w:rsidRDefault="009D5CA9" w:rsidP="00582C10">
      <w:pPr>
        <w:ind w:firstLine="709"/>
        <w:jc w:val="both"/>
        <w:rPr>
          <w:rFonts w:ascii="Times New Roman" w:eastAsia="Times New Roman" w:hAnsi="Times New Roman" w:cs="Times New Roman"/>
          <w:color w:val="000000" w:themeColor="text1"/>
          <w:kern w:val="0"/>
          <w:sz w:val="28"/>
          <w:szCs w:val="28"/>
          <w14:ligatures w14:val="none"/>
        </w:rPr>
      </w:pPr>
      <w:r w:rsidRPr="009D5CA9">
        <w:rPr>
          <w:rFonts w:ascii="Times New Roman" w:eastAsia="Times New Roman" w:hAnsi="Times New Roman" w:cs="Times New Roman"/>
          <w:color w:val="000000" w:themeColor="text1"/>
          <w:kern w:val="0"/>
          <w:sz w:val="28"/>
          <w:szCs w:val="28"/>
          <w14:ligatures w14:val="none"/>
        </w:rPr>
        <w:t>- Thứ hai, có sự tham gia của nhiều đối tượng đầu tư tiềm</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năng (gọi chung là cộng đồng);</w:t>
      </w:r>
    </w:p>
    <w:p w14:paraId="1F4EF5B0" w14:textId="7173C805" w:rsidR="009D5CA9" w:rsidRPr="009D5CA9" w:rsidRDefault="009D5CA9" w:rsidP="00582C10">
      <w:pPr>
        <w:ind w:firstLine="709"/>
        <w:jc w:val="both"/>
        <w:rPr>
          <w:rFonts w:ascii="Times New Roman" w:eastAsia="Times New Roman" w:hAnsi="Times New Roman" w:cs="Times New Roman"/>
          <w:color w:val="000000" w:themeColor="text1"/>
          <w:kern w:val="0"/>
          <w:sz w:val="28"/>
          <w:szCs w:val="28"/>
          <w14:ligatures w14:val="none"/>
        </w:rPr>
      </w:pPr>
      <w:r w:rsidRPr="009D5CA9">
        <w:rPr>
          <w:rFonts w:ascii="Times New Roman" w:eastAsia="Times New Roman" w:hAnsi="Times New Roman" w:cs="Times New Roman"/>
          <w:color w:val="000000" w:themeColor="text1"/>
          <w:kern w:val="0"/>
          <w:sz w:val="28"/>
          <w:szCs w:val="28"/>
          <w14:ligatures w14:val="none"/>
        </w:rPr>
        <w:t>- Thứ ba, hoạt động này có tác dụng làm giảm rào cản</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cho các doanh nghiệp khởi nghiệp (start-ups) trong việc</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tiếp cận các nguồn vốn sẵn có trong cộng đồng;</w:t>
      </w:r>
    </w:p>
    <w:p w14:paraId="017584D4" w14:textId="11596DC6" w:rsidR="009D5CA9" w:rsidRPr="009D5CA9" w:rsidRDefault="009D5CA9" w:rsidP="00582C10">
      <w:pPr>
        <w:ind w:firstLine="709"/>
        <w:jc w:val="both"/>
        <w:rPr>
          <w:rFonts w:ascii="Times New Roman" w:eastAsia="Times New Roman" w:hAnsi="Times New Roman" w:cs="Times New Roman"/>
          <w:color w:val="000000" w:themeColor="text1"/>
          <w:kern w:val="0"/>
          <w:sz w:val="28"/>
          <w:szCs w:val="28"/>
          <w14:ligatures w14:val="none"/>
        </w:rPr>
      </w:pPr>
      <w:r w:rsidRPr="009D5CA9">
        <w:rPr>
          <w:rFonts w:ascii="Times New Roman" w:eastAsia="Times New Roman" w:hAnsi="Times New Roman" w:cs="Times New Roman"/>
          <w:color w:val="000000" w:themeColor="text1"/>
          <w:kern w:val="0"/>
          <w:sz w:val="28"/>
          <w:szCs w:val="28"/>
          <w14:ligatures w14:val="none"/>
        </w:rPr>
        <w:lastRenderedPageBreak/>
        <w:t>- Thứ tư, cung cấp những điều kiện giao dịch thuận lợi</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hơn các kênh huy động vốn hiện có (ngân hàng hay các tổ</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chức tài chính truyền thống), nhà đầu tư không cần chứng</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minh hay cung cấp những giấy tờ, thủ tục như theo yêu</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cầu của ngân hàng,..;</w:t>
      </w:r>
    </w:p>
    <w:p w14:paraId="752158F0" w14:textId="138C9CF7" w:rsidR="009D5CA9" w:rsidRPr="009D5CA9" w:rsidRDefault="009D5CA9" w:rsidP="00582C10">
      <w:pPr>
        <w:ind w:firstLine="709"/>
        <w:jc w:val="both"/>
        <w:rPr>
          <w:rFonts w:ascii="Times New Roman" w:eastAsia="Times New Roman" w:hAnsi="Times New Roman" w:cs="Times New Roman"/>
          <w:color w:val="000000" w:themeColor="text1"/>
          <w:kern w:val="0"/>
          <w:sz w:val="28"/>
          <w:szCs w:val="28"/>
          <w14:ligatures w14:val="none"/>
        </w:rPr>
      </w:pPr>
      <w:r w:rsidRPr="009D5CA9">
        <w:rPr>
          <w:rFonts w:ascii="Times New Roman" w:eastAsia="Times New Roman" w:hAnsi="Times New Roman" w:cs="Times New Roman"/>
          <w:color w:val="000000" w:themeColor="text1"/>
          <w:kern w:val="0"/>
          <w:sz w:val="28"/>
          <w:szCs w:val="28"/>
          <w14:ligatures w14:val="none"/>
        </w:rPr>
        <w:t>- Thứ năm, có 3 chủ thể cùng tham gia vào hoạt động</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huy động vốn: nhà đầu tư hay người góp vốn, người ủng</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hộ (The investors); kênh huy động vốn (The crowdfunding</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platforms); chủ dự án, người khởi nghiệp (The initiators);</w:t>
      </w:r>
    </w:p>
    <w:p w14:paraId="5BF6D18B" w14:textId="7C509F19" w:rsidR="009D5CA9" w:rsidRPr="009D5CA9" w:rsidRDefault="009D5CA9" w:rsidP="00582C10">
      <w:pPr>
        <w:ind w:firstLine="709"/>
        <w:jc w:val="both"/>
        <w:rPr>
          <w:rFonts w:ascii="Times New Roman" w:eastAsia="Times New Roman" w:hAnsi="Times New Roman" w:cs="Times New Roman"/>
          <w:color w:val="000000" w:themeColor="text1"/>
          <w:kern w:val="0"/>
          <w:sz w:val="28"/>
          <w:szCs w:val="28"/>
          <w14:ligatures w14:val="none"/>
        </w:rPr>
      </w:pPr>
      <w:r w:rsidRPr="009D5CA9">
        <w:rPr>
          <w:rFonts w:ascii="Times New Roman" w:eastAsia="Times New Roman" w:hAnsi="Times New Roman" w:cs="Times New Roman"/>
          <w:color w:val="000000" w:themeColor="text1"/>
          <w:kern w:val="0"/>
          <w:sz w:val="28"/>
          <w:szCs w:val="28"/>
          <w14:ligatures w14:val="none"/>
        </w:rPr>
        <w:t>- Thứ sáu, mục đích của việc góp vốn, tài trợ, đầu tư rất</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đa dạng và khác nhau có thể là mục tiêu đầu tư vì lợi ích tài</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chính, động cơ thiện nguyện,...;</w:t>
      </w:r>
    </w:p>
    <w:p w14:paraId="4FD0CA47" w14:textId="4B94AF5C" w:rsidR="003B5CA5" w:rsidRDefault="009D5CA9" w:rsidP="00582C10">
      <w:pPr>
        <w:ind w:firstLine="709"/>
        <w:jc w:val="both"/>
        <w:rPr>
          <w:rFonts w:ascii="Times New Roman" w:eastAsia="Times New Roman" w:hAnsi="Times New Roman" w:cs="Times New Roman"/>
          <w:color w:val="000000" w:themeColor="text1"/>
          <w:kern w:val="0"/>
          <w:sz w:val="28"/>
          <w:szCs w:val="28"/>
          <w14:ligatures w14:val="none"/>
        </w:rPr>
      </w:pPr>
      <w:r w:rsidRPr="009D5CA9">
        <w:rPr>
          <w:rFonts w:ascii="Times New Roman" w:eastAsia="Times New Roman" w:hAnsi="Times New Roman" w:cs="Times New Roman"/>
          <w:color w:val="000000" w:themeColor="text1"/>
          <w:kern w:val="0"/>
          <w:sz w:val="28"/>
          <w:szCs w:val="28"/>
          <w14:ligatures w14:val="none"/>
        </w:rPr>
        <w:t>- Thứ bảy, hoạt động này nhằm mang lại lợi ích cho các</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bên: người nhận được khoản đầu tư có thể hiện thực hóa</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ý tưởng kinh doanh; người đầu tư có thể nhận được lợi ích</w:t>
      </w:r>
      <w:r w:rsidR="00582C10">
        <w:rPr>
          <w:rFonts w:ascii="Times New Roman" w:eastAsia="Times New Roman" w:hAnsi="Times New Roman" w:cs="Times New Roman"/>
          <w:color w:val="000000" w:themeColor="text1"/>
          <w:kern w:val="0"/>
          <w:sz w:val="28"/>
          <w:szCs w:val="28"/>
          <w14:ligatures w14:val="none"/>
        </w:rPr>
        <w:t xml:space="preserve"> </w:t>
      </w:r>
      <w:r w:rsidRPr="009D5CA9">
        <w:rPr>
          <w:rFonts w:ascii="Times New Roman" w:eastAsia="Times New Roman" w:hAnsi="Times New Roman" w:cs="Times New Roman"/>
          <w:color w:val="000000" w:themeColor="text1"/>
          <w:kern w:val="0"/>
          <w:sz w:val="28"/>
          <w:szCs w:val="28"/>
          <w14:ligatures w14:val="none"/>
        </w:rPr>
        <w:t>về mặt kinh tế như sở hữu sản phẩm với mức giá ưu đãi</w:t>
      </w:r>
      <w:r w:rsidR="00582C10">
        <w:rPr>
          <w:rFonts w:ascii="Times New Roman" w:eastAsia="Times New Roman" w:hAnsi="Times New Roman" w:cs="Times New Roman"/>
          <w:color w:val="000000" w:themeColor="text1"/>
          <w:kern w:val="0"/>
          <w:sz w:val="28"/>
          <w:szCs w:val="28"/>
          <w14:ligatures w14:val="none"/>
        </w:rPr>
        <w:t xml:space="preserve">, </w:t>
      </w:r>
      <w:r w:rsidR="00582C10" w:rsidRPr="00582C10">
        <w:rPr>
          <w:rFonts w:ascii="Times New Roman" w:eastAsia="Times New Roman" w:hAnsi="Times New Roman" w:cs="Times New Roman"/>
          <w:color w:val="000000" w:themeColor="text1"/>
          <w:kern w:val="0"/>
          <w:sz w:val="28"/>
          <w:szCs w:val="28"/>
          <w14:ligatures w14:val="none"/>
        </w:rPr>
        <w:t>hay sở hữu sản phẩm đầu tiên khi dự án hoàn thành hoặc</w:t>
      </w:r>
      <w:r w:rsidR="00582C10">
        <w:rPr>
          <w:rFonts w:ascii="Times New Roman" w:eastAsia="Times New Roman" w:hAnsi="Times New Roman" w:cs="Times New Roman"/>
          <w:color w:val="000000" w:themeColor="text1"/>
          <w:kern w:val="0"/>
          <w:sz w:val="28"/>
          <w:szCs w:val="28"/>
          <w14:ligatures w14:val="none"/>
        </w:rPr>
        <w:t xml:space="preserve"> </w:t>
      </w:r>
      <w:r w:rsidR="00582C10" w:rsidRPr="00582C10">
        <w:rPr>
          <w:rFonts w:ascii="Times New Roman" w:eastAsia="Times New Roman" w:hAnsi="Times New Roman" w:cs="Times New Roman"/>
          <w:color w:val="000000" w:themeColor="text1"/>
          <w:kern w:val="0"/>
          <w:sz w:val="28"/>
          <w:szCs w:val="28"/>
          <w14:ligatures w14:val="none"/>
        </w:rPr>
        <w:t>sự hài lòng khi hỗ trợ cho một dự án ý nghĩa.</w:t>
      </w:r>
    </w:p>
    <w:p w14:paraId="73D3E02D" w14:textId="622B9DCC" w:rsid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14:ligatures w14:val="none"/>
        </w:rPr>
        <w:t xml:space="preserve">2. </w:t>
      </w:r>
      <w:r w:rsidRPr="00582C10">
        <w:rPr>
          <w:rFonts w:ascii="Times New Roman" w:eastAsia="Times New Roman" w:hAnsi="Times New Roman" w:cs="Times New Roman"/>
          <w:color w:val="000000" w:themeColor="text1"/>
          <w:kern w:val="0"/>
          <w:sz w:val="28"/>
          <w:szCs w:val="28"/>
          <w14:ligatures w14:val="none"/>
        </w:rPr>
        <w:t>Lợi ích của huy động vốn cộng đồng</w:t>
      </w:r>
    </w:p>
    <w:p w14:paraId="50C10BF8" w14:textId="08FD2DD4" w:rsid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i/>
          <w:color w:val="000000" w:themeColor="text1"/>
          <w:kern w:val="0"/>
          <w:sz w:val="28"/>
          <w:szCs w:val="28"/>
          <w14:ligatures w14:val="none"/>
        </w:rPr>
        <w:t>Về phía chủ dự án hay người khởi nghiệp (The initiators):</w:t>
      </w:r>
      <w:r w:rsidRPr="00582C10">
        <w:rPr>
          <w:rFonts w:ascii="Times New Roman" w:eastAsia="Times New Roman" w:hAnsi="Times New Roman" w:cs="Times New Roman"/>
          <w:color w:val="000000" w:themeColor="text1"/>
          <w:kern w:val="0"/>
          <w:sz w:val="28"/>
          <w:szCs w:val="28"/>
          <w14:ligatures w14:val="none"/>
        </w:rPr>
        <w:t xml:space="preserve"> lợi ích đầu tiên là sự hỗ trợ vốn để có thể hiện thực hóa dự án của mình. Bên cạnh đó, chủ dự án còn có thể nhận được những phản hồi, ý kiến nhận xét, kiểm định về dự án của mình từ cộng đồng; kiểm định mức độ khả thi và sự quan tâm của cộng đồng về dự án mà không tốn thêm chi phí cho các dịch vụ tư vấn, từ đó có thể có những điều chỉnh kịp thời và phù hợp. Một lợi ích to lớn mà chủ dự án có thể đạt được đó chính là hiệu quả marketing có thể đạt được thông qua các kênh huy động vốn cộng đồng, đặc biệt đối với các sản phẩm hoặc công ty mới. Một dự án huy động vốn thành công sẽ tăng cao mức độ tin cậy của dự án và sản phẩm, đồng thời nâng cao khả năng tiếp cận các nguồn vốn truyền thống trong những giai đoạn sau.</w:t>
      </w:r>
    </w:p>
    <w:p w14:paraId="7A58C43A" w14:textId="77777777" w:rsidR="00582C10" w:rsidRDefault="00582C10" w:rsidP="00582C10">
      <w:pPr>
        <w:ind w:firstLine="709"/>
        <w:jc w:val="both"/>
      </w:pPr>
      <w:r w:rsidRPr="00582C10">
        <w:rPr>
          <w:rFonts w:ascii="Times New Roman" w:eastAsia="Times New Roman" w:hAnsi="Times New Roman" w:cs="Times New Roman"/>
          <w:i/>
          <w:color w:val="000000" w:themeColor="text1"/>
          <w:kern w:val="0"/>
          <w:sz w:val="28"/>
          <w:szCs w:val="28"/>
          <w14:ligatures w14:val="none"/>
        </w:rPr>
        <w:t>Về phía kênh huy động vốn (Crowdfunding platform):</w:t>
      </w:r>
      <w:r w:rsidRPr="00582C10">
        <w:rPr>
          <w:rFonts w:ascii="Times New Roman" w:eastAsia="Times New Roman" w:hAnsi="Times New Roman" w:cs="Times New Roman"/>
          <w:color w:val="000000" w:themeColor="text1"/>
          <w:kern w:val="0"/>
          <w:sz w:val="28"/>
          <w:szCs w:val="28"/>
          <w14:ligatures w14:val="none"/>
        </w:rPr>
        <w:t xml:space="preserve"> đầu tiên, lợi ích mà kênh huy động vốn nhận được chính là giá trị đóng góp cho cộng đồng khi tạo ra được một "diễn đàn", nơi người khởi nghiệp và nhà đầu tư có thể "gặp nhau" để hiện thực hóa những ý tưởng, sáng kiến có giá trị cho cộng đồng. Thứ hai, kênh huy động sẽ có một hệ thống, cơ sở dữ liệu của các dự án kinh doanh, các ý</w:t>
      </w:r>
      <w:r>
        <w:rPr>
          <w:rFonts w:ascii="Times New Roman" w:eastAsia="Times New Roman" w:hAnsi="Times New Roman" w:cs="Times New Roman"/>
          <w:color w:val="000000" w:themeColor="text1"/>
          <w:kern w:val="0"/>
          <w:sz w:val="28"/>
          <w:szCs w:val="28"/>
          <w14:ligatures w14:val="none"/>
        </w:rPr>
        <w:t xml:space="preserve"> </w:t>
      </w:r>
      <w:r w:rsidRPr="00582C10">
        <w:rPr>
          <w:rFonts w:ascii="Times New Roman" w:eastAsia="Times New Roman" w:hAnsi="Times New Roman" w:cs="Times New Roman"/>
          <w:color w:val="000000" w:themeColor="text1"/>
          <w:kern w:val="0"/>
          <w:sz w:val="28"/>
          <w:szCs w:val="28"/>
          <w14:ligatures w14:val="none"/>
        </w:rPr>
        <w:t xml:space="preserve">tưởng khởi nghiệp ở đa dạng các lĩnh vực khác nhau. Thứ ba, chính sự thành công của các dự án sẽ là nền tảng và cơ sở để phát triển và nâng cao uy tín của kênh huy động. </w:t>
      </w:r>
    </w:p>
    <w:p w14:paraId="22182C5F" w14:textId="3E52677C" w:rsidR="00582C10" w:rsidRPr="0080689F"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i/>
          <w:color w:val="000000" w:themeColor="text1"/>
          <w:kern w:val="0"/>
          <w:sz w:val="28"/>
          <w:szCs w:val="28"/>
          <w14:ligatures w14:val="none"/>
        </w:rPr>
        <w:lastRenderedPageBreak/>
        <w:t>Về phía nhà đầu tư (The investors):</w:t>
      </w:r>
      <w:r>
        <w:t xml:space="preserve"> </w:t>
      </w:r>
      <w:r w:rsidRPr="00582C10">
        <w:rPr>
          <w:rFonts w:ascii="Times New Roman" w:eastAsia="Times New Roman" w:hAnsi="Times New Roman" w:cs="Times New Roman"/>
          <w:color w:val="000000" w:themeColor="text1"/>
          <w:kern w:val="0"/>
          <w:sz w:val="28"/>
          <w:szCs w:val="28"/>
          <w14:ligatures w14:val="none"/>
        </w:rPr>
        <w:t>lợi ích nhà đầu tư sẽ nhận được là những lợi ích tiềm năng tùy theo mô hình hoạt động, có thể là thư cảm ơn, tặng phẩm nhỏ hay sở hữu sản phẩm với mức giá ưu đãi hoặc miễn phí, hoặc đơn giản là cảm giác hài lòng. Thứ hai, khi tham gia cộng đồng này, nhà đầu tư có thể tiếp cận thông tin của nhiều dự án gọi vốn khác nhau, từ đó có thông tin về thị trường, về xu hướng khởi nghiệp, nhờ vậy, dễ dàng so sánh để lựa chọn những dự án khác nhau để ủng hộ. Thứ ba, thông qua kênh huy động, nhà đầu tư có thể theo dõi được tình hình huy động vốn của dự án, đảm bảo được phần vốn đầu tư được thực hiện đúng mục đích.</w:t>
      </w:r>
    </w:p>
    <w:p w14:paraId="47974FE8" w14:textId="2A3E945D" w:rsidR="00582C10" w:rsidRDefault="00582C10" w:rsidP="00E71244">
      <w:pPr>
        <w:ind w:firstLine="709"/>
        <w:jc w:val="both"/>
        <w:rPr>
          <w:rFonts w:ascii="Times New Roman" w:eastAsia="Times New Roman" w:hAnsi="Times New Roman" w:cs="Times New Roman"/>
          <w:color w:val="000000" w:themeColor="text1"/>
          <w:kern w:val="0"/>
          <w:sz w:val="28"/>
          <w:szCs w:val="28"/>
          <w14:ligatures w14:val="none"/>
        </w:rPr>
      </w:pPr>
      <w:r>
        <w:rPr>
          <w:rFonts w:ascii="Times New Roman" w:eastAsia="Times New Roman" w:hAnsi="Times New Roman" w:cs="Times New Roman"/>
          <w:color w:val="000000" w:themeColor="text1"/>
          <w:kern w:val="0"/>
          <w:sz w:val="28"/>
          <w:szCs w:val="28"/>
          <w14:ligatures w14:val="none"/>
        </w:rPr>
        <w:t xml:space="preserve">3. </w:t>
      </w:r>
      <w:r w:rsidRPr="00582C10">
        <w:rPr>
          <w:rFonts w:ascii="Times New Roman" w:eastAsia="Times New Roman" w:hAnsi="Times New Roman" w:cs="Times New Roman"/>
          <w:color w:val="000000" w:themeColor="text1"/>
          <w:kern w:val="0"/>
          <w:sz w:val="28"/>
          <w:szCs w:val="28"/>
          <w14:ligatures w14:val="none"/>
        </w:rPr>
        <w:t xml:space="preserve">Rủi ro của huy động vốn cộng đồng </w:t>
      </w:r>
    </w:p>
    <w:p w14:paraId="36A095DE" w14:textId="77777777" w:rsidR="00582C10" w:rsidRDefault="00582C10" w:rsidP="00E71244">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i/>
          <w:color w:val="000000" w:themeColor="text1"/>
          <w:kern w:val="0"/>
          <w:sz w:val="28"/>
          <w:szCs w:val="28"/>
          <w14:ligatures w14:val="none"/>
        </w:rPr>
        <w:t>Về phía chủ dự án hay người khởi nghiệp (The initiators):</w:t>
      </w:r>
      <w:r w:rsidRPr="00582C10">
        <w:rPr>
          <w:rFonts w:ascii="Times New Roman" w:eastAsia="Times New Roman" w:hAnsi="Times New Roman" w:cs="Times New Roman"/>
          <w:color w:val="000000" w:themeColor="text1"/>
          <w:kern w:val="0"/>
          <w:sz w:val="28"/>
          <w:szCs w:val="28"/>
          <w14:ligatures w14:val="none"/>
        </w:rPr>
        <w:t xml:space="preserve"> đầu tiên phải kể đến là rủi ro về bản quyền, sở hữu trí tuệ, nguy cơ bị ăn cắp, sao chép ý tưởng cao. Rủi ro thứ hai có thể gặp phải chính là việc đối mặt với những phản hồi tiêu cực hoặc những ý kiến trái chiều về tính khả thi của dự án, điều này sẽ tác động đến khả năng thành công của dự án, thậm chí ảnh hưởng đến uy tín và danh tiếng của chủ dự án, chủ doanh nghiệp khởi nghiệp. Bên cạnh đó, còn có rủi ro về mặt pháp lý, thủ tục hành chính hay thủ tục thanh toán, nhận vốn góp thông qua kênh huy động vốn. Việc huy động vốn thất bại sẽ làm tốn thời gian và công sức của chủ dự án và gây khó khăn cho việc tiếp cận các nguồn vốn khác. </w:t>
      </w:r>
    </w:p>
    <w:p w14:paraId="7161A4F5" w14:textId="77777777" w:rsidR="00582C10" w:rsidRDefault="00582C10" w:rsidP="00E71244">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i/>
          <w:color w:val="000000" w:themeColor="text1"/>
          <w:kern w:val="0"/>
          <w:sz w:val="28"/>
          <w:szCs w:val="28"/>
          <w14:ligatures w14:val="none"/>
        </w:rPr>
        <w:t xml:space="preserve">Về phía kênh huy động vốn (Crowdfunding): </w:t>
      </w:r>
      <w:r w:rsidRPr="00582C10">
        <w:rPr>
          <w:rFonts w:ascii="Times New Roman" w:eastAsia="Times New Roman" w:hAnsi="Times New Roman" w:cs="Times New Roman"/>
          <w:color w:val="000000" w:themeColor="text1"/>
          <w:kern w:val="0"/>
          <w:sz w:val="28"/>
          <w:szCs w:val="28"/>
          <w14:ligatures w14:val="none"/>
        </w:rPr>
        <w:t xml:space="preserve">kênh huy động vốn cũng đứng trước những rủi ro trong việc duy trình hoạt động và đảm bảo lợi ích của các bên. Những rủi ro trong quá trình thẩm định thông tin dự án huy động vốn, hoặc rủi ro từ các hoạt động rửa tiền, không thực hiện đầy đủ các cam kết của chủ dự án đối với nhà đầu tư, đảm bảo hoạt động và uy tín của kênh huy động vốn. </w:t>
      </w:r>
    </w:p>
    <w:p w14:paraId="557383D0" w14:textId="49A245EE" w:rsidR="00582C10" w:rsidRDefault="00582C10" w:rsidP="00E71244">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i/>
          <w:color w:val="000000" w:themeColor="text1"/>
          <w:kern w:val="0"/>
          <w:sz w:val="28"/>
          <w:szCs w:val="28"/>
          <w14:ligatures w14:val="none"/>
        </w:rPr>
        <w:t>Về phía nhà đầu tư (The investors):</w:t>
      </w:r>
      <w:r w:rsidRPr="00582C10">
        <w:rPr>
          <w:rFonts w:ascii="Times New Roman" w:eastAsia="Times New Roman" w:hAnsi="Times New Roman" w:cs="Times New Roman"/>
          <w:color w:val="000000" w:themeColor="text1"/>
          <w:kern w:val="0"/>
          <w:sz w:val="28"/>
          <w:szCs w:val="28"/>
          <w14:ligatures w14:val="none"/>
        </w:rPr>
        <w:t xml:space="preserve"> dù chỉ là đầu tư một khoản tiền nhỏ nhưng cũng sẽ đối mặt với một số rủi ro như khoản đầu tư đó không đến được đúng với chủ dự án cần nhận vốn do hoạt động của kênh huy động vốn không được đảm bảo. Hay việc không nhận được các phần thưởng, lợi ích cam kết khi góp vốn. Một trong những rủi ro tiềm ẩn mà nhà đầu tư có thể gặp phải đó là sự không thỏa mãn (dissatisfaction) trong trường hợp đầu tư các dự án nhưng liên tục không thành công, hoặc các dự án không thực hiện các cam kết như đã hứa về sản phẩm, dịch vụ hay trách nhiệm với cộng đồng.</w:t>
      </w:r>
    </w:p>
    <w:p w14:paraId="7E4CF541" w14:textId="77777777" w:rsidR="00582C10" w:rsidRDefault="00582C10">
      <w:pPr>
        <w:rPr>
          <w:rFonts w:ascii="Times New Roman" w:eastAsia="Times New Roman" w:hAnsi="Times New Roman" w:cs="Times New Roman"/>
          <w:b/>
          <w:color w:val="000000" w:themeColor="text1"/>
          <w:kern w:val="0"/>
          <w:sz w:val="28"/>
          <w:szCs w:val="28"/>
          <w14:ligatures w14:val="none"/>
        </w:rPr>
      </w:pPr>
      <w:r>
        <w:rPr>
          <w:rFonts w:ascii="Times New Roman" w:eastAsia="Times New Roman" w:hAnsi="Times New Roman" w:cs="Times New Roman"/>
          <w:b/>
          <w:color w:val="000000" w:themeColor="text1"/>
          <w:kern w:val="0"/>
          <w:sz w:val="28"/>
          <w:szCs w:val="28"/>
          <w14:ligatures w14:val="none"/>
        </w:rPr>
        <w:br w:type="page"/>
      </w:r>
    </w:p>
    <w:p w14:paraId="539C128E" w14:textId="5A8A14CD" w:rsidR="00582C10" w:rsidRPr="00582C10" w:rsidRDefault="00582C10" w:rsidP="00E71244">
      <w:pPr>
        <w:ind w:firstLine="709"/>
        <w:jc w:val="both"/>
        <w:rPr>
          <w:rFonts w:ascii="Times New Roman" w:eastAsia="Times New Roman" w:hAnsi="Times New Roman" w:cs="Times New Roman"/>
          <w:b/>
          <w:color w:val="000000" w:themeColor="text1"/>
          <w:kern w:val="0"/>
          <w:sz w:val="28"/>
          <w:szCs w:val="28"/>
          <w14:ligatures w14:val="none"/>
        </w:rPr>
      </w:pPr>
      <w:r w:rsidRPr="00582C10">
        <w:rPr>
          <w:rFonts w:ascii="Times New Roman" w:eastAsia="Times New Roman" w:hAnsi="Times New Roman" w:cs="Times New Roman"/>
          <w:b/>
          <w:color w:val="000000" w:themeColor="text1"/>
          <w:kern w:val="0"/>
          <w:sz w:val="28"/>
          <w:szCs w:val="28"/>
          <w14:ligatures w14:val="none"/>
        </w:rPr>
        <w:lastRenderedPageBreak/>
        <w:t>Cho vay ngang hàng (P2P Lending)</w:t>
      </w:r>
    </w:p>
    <w:p w14:paraId="4510AE1E" w14:textId="77777777" w:rsid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t>Cho vay ngang hàng (P2P Lending) đã phát triển trên toàn cầu nói chung và tại Việt Nam nói riêng như một phương thức tiếp cận vốn mới cho các doanh nghiệp nhỏ và vừa (DNNVV). Theo dự đoán của công ty nghiên cứu thanh toán thị trường Transparency Market Research, quy mô thị trường P2P Lending toàn cầu có thể đạt gần 900 tỷ USD vào năm 2024, với tốc độ tăng trưởng trung bình khoảng 20%/năm. Tại Việt Nam, P2P Lending cũng đang phát triển mạnh với 40 trong tổng số 100 công ty công nghệ tài chính (Fintech) đang hoạt động có dịch vụ này. Tuy nhiên, thị trường này tại Việt Nam còn tiềm ẩn rủi ro khi chưa có hành lang pháp lý, thông tin thiếu minh bạch… Bài viết sẽ tìm hiểu về P2P Lending, kinh nghiệm quản lý P2P Lending trên thế giới, thực trạng về P2P Lending tại Việt Nam và đưa ra giải pháp giúp phát triển thị trường P2P Lending trở thành một lựa chọn cho các DNNVV tiếp cận vốn trong thời gian tới.</w:t>
      </w:r>
    </w:p>
    <w:p w14:paraId="10210A7B" w14:textId="1E1FCD38" w:rsidR="00582C10" w:rsidRP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t>Năm 2005, nền tảng P2P Lending đầu tiên trên thế giới, ZOPA, được ra mắt tại Anh. Rất nhanh sau đó, các nền tảng tương tự đã xuất hiện tại Trung Quốc, Mỹ… P2P Lending là mô hình kinh doanh sử dụng nền tảng công nghệ để kết nối trực tiếp nhà đầu tư (bên cho vay) với cá nhân hay doanh nghiệp muốn vay (bên vay). Dựa trên các nền tảng công nghệ của công ty P2P Lending, thông tin của những người đi vay được thu thập, thẩm định, sàng lọc và gửi đến các chủ thể cho vay để lựa chọn các yêu cầu tài trợ khả thi và quyết định đầu tư trên cơ sở chấp thuận của hai bên (Hình 1).</w:t>
      </w:r>
    </w:p>
    <w:p w14:paraId="5E9BDB63" w14:textId="77777777" w:rsidR="00582C10" w:rsidRPr="00582C10" w:rsidRDefault="00582C10" w:rsidP="00582C10">
      <w:pPr>
        <w:spacing w:after="0" w:line="240" w:lineRule="auto"/>
        <w:jc w:val="center"/>
        <w:rPr>
          <w:rFonts w:ascii="RR" w:eastAsia="Times New Roman" w:hAnsi="RR" w:cs="Times New Roman"/>
          <w:color w:val="333333"/>
          <w:kern w:val="0"/>
          <w:sz w:val="23"/>
          <w:szCs w:val="23"/>
          <w:lang w:eastAsia="zh-CN"/>
          <w14:ligatures w14:val="none"/>
        </w:rPr>
      </w:pPr>
      <w:r w:rsidRPr="00582C10">
        <w:rPr>
          <w:rFonts w:ascii="Times New Roman" w:eastAsia="Times New Roman" w:hAnsi="Times New Roman" w:cs="Times New Roman"/>
          <w:b/>
          <w:color w:val="000000" w:themeColor="text1"/>
          <w:kern w:val="0"/>
          <w:sz w:val="28"/>
          <w:szCs w:val="28"/>
          <w14:ligatures w14:val="none"/>
        </w:rPr>
        <w:t>Hình 1: Mô hình P2P Lending</w:t>
      </w:r>
      <w:r w:rsidRPr="00582C10">
        <w:rPr>
          <w:rFonts w:ascii="Times New Roman" w:eastAsia="Times New Roman" w:hAnsi="Times New Roman" w:cs="Times New Roman"/>
          <w:b/>
          <w:color w:val="000000" w:themeColor="text1"/>
          <w:kern w:val="0"/>
          <w:sz w:val="28"/>
          <w:szCs w:val="28"/>
          <w14:ligatures w14:val="none"/>
        </w:rPr>
        <w:br/>
      </w:r>
      <w:r w:rsidRPr="00582C10">
        <w:rPr>
          <w:rFonts w:ascii="RR" w:eastAsia="Times New Roman" w:hAnsi="RR" w:cs="Times New Roman"/>
          <w:color w:val="333333"/>
          <w:kern w:val="0"/>
          <w:sz w:val="23"/>
          <w:szCs w:val="23"/>
          <w:lang w:eastAsia="zh-CN"/>
          <w14:ligatures w14:val="none"/>
        </w:rPr>
        <w:t> </w:t>
      </w:r>
    </w:p>
    <w:p w14:paraId="51D95188" w14:textId="77777777" w:rsidR="00582C10" w:rsidRDefault="00582C10" w:rsidP="00582C10">
      <w:pPr>
        <w:spacing w:after="0" w:line="240" w:lineRule="auto"/>
        <w:jc w:val="center"/>
        <w:rPr>
          <w:rFonts w:ascii="RB" w:eastAsia="Times New Roman" w:hAnsi="RB" w:cs="Times New Roman"/>
          <w:b/>
          <w:bCs/>
          <w:color w:val="333333"/>
          <w:kern w:val="0"/>
          <w:sz w:val="23"/>
          <w:szCs w:val="23"/>
          <w:lang w:eastAsia="zh-CN"/>
          <w14:ligatures w14:val="none"/>
        </w:rPr>
      </w:pPr>
      <w:r w:rsidRPr="00582C10">
        <w:rPr>
          <w:rFonts w:ascii="RR" w:eastAsia="Times New Roman" w:hAnsi="RR" w:cs="Times New Roman"/>
          <w:noProof/>
          <w:color w:val="333333"/>
          <w:kern w:val="0"/>
          <w:sz w:val="23"/>
          <w:szCs w:val="23"/>
          <w:lang w:eastAsia="zh-CN"/>
          <w14:ligatures w14:val="none"/>
        </w:rPr>
        <w:drawing>
          <wp:inline distT="0" distB="0" distL="0" distR="0" wp14:anchorId="361EF0BB" wp14:editId="54B60A6B">
            <wp:extent cx="4123690" cy="1734185"/>
            <wp:effectExtent l="0" t="0" r="0" b="0"/>
            <wp:docPr id="3" name="Picture 3" descr="https://tapchinganhang.gov.vn/pic/News/lethithuthuy/images/1(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tapchinganhang.gov.vn/pic/News/lethithuthuy/images/1(231).JP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123690" cy="1734185"/>
                    </a:xfrm>
                    <a:prstGeom prst="rect">
                      <a:avLst/>
                    </a:prstGeom>
                    <a:noFill/>
                    <a:ln>
                      <a:noFill/>
                    </a:ln>
                  </pic:spPr>
                </pic:pic>
              </a:graphicData>
            </a:graphic>
          </wp:inline>
        </w:drawing>
      </w:r>
      <w:r w:rsidRPr="00582C10">
        <w:rPr>
          <w:rFonts w:ascii="RR" w:eastAsia="Times New Roman" w:hAnsi="RR" w:cs="Times New Roman"/>
          <w:color w:val="333333"/>
          <w:kern w:val="0"/>
          <w:sz w:val="23"/>
          <w:szCs w:val="23"/>
          <w:lang w:eastAsia="zh-CN"/>
          <w14:ligatures w14:val="none"/>
        </w:rPr>
        <w:br/>
      </w:r>
    </w:p>
    <w:p w14:paraId="01D0BF90" w14:textId="6FF9D44B" w:rsidR="00582C10" w:rsidRPr="00582C10" w:rsidRDefault="00582C10" w:rsidP="00582C10">
      <w:pPr>
        <w:ind w:firstLine="709"/>
        <w:jc w:val="both"/>
        <w:rPr>
          <w:rFonts w:ascii="Times New Roman" w:eastAsia="Times New Roman" w:hAnsi="Times New Roman" w:cs="Times New Roman"/>
          <w:i/>
          <w:color w:val="000000" w:themeColor="text1"/>
          <w:kern w:val="0"/>
          <w:sz w:val="28"/>
          <w:szCs w:val="28"/>
          <w14:ligatures w14:val="none"/>
        </w:rPr>
      </w:pPr>
      <w:r w:rsidRPr="00582C10">
        <w:rPr>
          <w:rFonts w:ascii="Times New Roman" w:eastAsia="Times New Roman" w:hAnsi="Times New Roman" w:cs="Times New Roman"/>
          <w:i/>
          <w:color w:val="000000" w:themeColor="text1"/>
          <w:kern w:val="0"/>
          <w:sz w:val="28"/>
          <w:szCs w:val="28"/>
          <w14:ligatures w14:val="none"/>
        </w:rPr>
        <w:t>Những ưu điểm chính</w:t>
      </w:r>
    </w:p>
    <w:p w14:paraId="4051B009" w14:textId="5EB01077" w:rsidR="00582C10" w:rsidRP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t xml:space="preserve">Thứ nhất, bên vay sẽ: (i) Tiếp cận được nguồn vốn trực tiếp, đặc biệt là với các món vay nhỏ, ngắn hạn của các DNNVV khó tiếp cận nguồn vốn chính thức; (ii) Đáp ứng nhu cầu vay nhanh hơn do thủ tục, quy trình đơn giản hơn so với vay tiêu dùng thông thường; (iii) Phí và lãi suất có thể thấp hơn so với vay tiêu dùng </w:t>
      </w:r>
      <w:r w:rsidRPr="00582C10">
        <w:rPr>
          <w:rFonts w:ascii="Times New Roman" w:eastAsia="Times New Roman" w:hAnsi="Times New Roman" w:cs="Times New Roman"/>
          <w:color w:val="000000" w:themeColor="text1"/>
          <w:kern w:val="0"/>
          <w:sz w:val="28"/>
          <w:szCs w:val="28"/>
          <w14:ligatures w14:val="none"/>
        </w:rPr>
        <w:lastRenderedPageBreak/>
        <w:t>thông thường qua trung gian do tiếp cận trực tiếp, sử dụng công nghệ và dữ liệu lớn (Big data) để tiết kiệm chi phí; (iv) Có thêm lựa chọn về kênh huy động vốn. </w:t>
      </w:r>
    </w:p>
    <w:p w14:paraId="18DB1002" w14:textId="5039ECA5" w:rsidR="00582C10" w:rsidRP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t>Thứ hai, đối với nhà đầu tư (bên cho vay), mô hình này: (i) Cung cấp một kênh đầu tư, góp phần đa dạng hóa danh mục đầu tư; (ii) Lợi tức khá hấp dẫn (lãi suất thường cao hơn gửi tiết kiệm hoặc đầu tư trái phiếu thông thường).</w:t>
      </w:r>
    </w:p>
    <w:p w14:paraId="2701D2D4" w14:textId="08B65530" w:rsidR="00582C10" w:rsidRP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t>Thứ ba, đối với công ty P2P Lending, đây là một lĩnh vực hoạt động mới, khai thác nền tảng công nghệ đã có, đem lại nguồn thu, đa dạng hóa hoạt động và tăng việc làm cho nhân viên.</w:t>
      </w:r>
    </w:p>
    <w:p w14:paraId="0C01C80A" w14:textId="2DBE2FCC" w:rsidR="00582C10" w:rsidRP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t>Thứ tư, mô hình này giúp tăng khả năng tiếp cận vốn cho các DNNVV là đối tượng khó tiếp cận vốn từ các kênh huy động vốn truyền thống như vay vốn ngân hàng, phát hành cổ phiếu và trái phiếu trên thị trường vốn… Nguyên nhân chủ yếu là do đối tượng này thường có năng lực tài chính thấp, chưa xây dựng được kế hoạch kinh doanh dài hạn, nhu cầu vốn vay nhỏ và ngắn hạn, dễ bị ảnh hưởng bởi các đối tác, thiếu tài sản đảm bảo… Bên cạnh đó, mục đích loại hình cho vay này thường tập trung vào cho vay các món nhỏ thế chấp (mua nhà, ô tô…), tái cho vay thẻ tín dụng, cho vay tiêu dùng, cho vay doanh nghiệp nhỏ và siêu nhỏ, cho vay khởi nghiệp...</w:t>
      </w:r>
    </w:p>
    <w:p w14:paraId="3B63E3E0" w14:textId="7ACC8DD1" w:rsidR="00582C10" w:rsidRPr="00582C10" w:rsidRDefault="00582C10" w:rsidP="00582C10">
      <w:pPr>
        <w:ind w:firstLine="709"/>
        <w:jc w:val="both"/>
        <w:rPr>
          <w:rFonts w:ascii="Times New Roman" w:eastAsia="Times New Roman" w:hAnsi="Times New Roman" w:cs="Times New Roman"/>
          <w:i/>
          <w:color w:val="000000" w:themeColor="text1"/>
          <w:kern w:val="0"/>
          <w:sz w:val="28"/>
          <w:szCs w:val="28"/>
          <w14:ligatures w14:val="none"/>
        </w:rPr>
      </w:pPr>
      <w:r w:rsidRPr="00582C10">
        <w:rPr>
          <w:rFonts w:ascii="Times New Roman" w:eastAsia="Times New Roman" w:hAnsi="Times New Roman" w:cs="Times New Roman"/>
          <w:i/>
          <w:color w:val="000000" w:themeColor="text1"/>
          <w:kern w:val="0"/>
          <w:sz w:val="28"/>
          <w:szCs w:val="28"/>
          <w14:ligatures w14:val="none"/>
        </w:rPr>
        <w:t>Một số rủi ro chính</w:t>
      </w:r>
    </w:p>
    <w:p w14:paraId="0229E3B7" w14:textId="3486272C" w:rsidR="00582C10" w:rsidRP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t>Thứ nhất, khi P2P Lending không phải tuân thủ các quy định về an toàn hoạt động cũng như các quy định về giám sát, kiểm soát chặt chẽ như đối với các tổ chức tín dụng hay công ty quản lý đầu tư thì trách nhiệm ràng buộc giữa công ty P2P Lending và nhà đầu tư khá hạn chế, dẫn đến tranh chấp có thể xảy ra hoặc là khi xảy ra rủi ro, các bên liên quan không chịu trách nhiệm hoặc không được giải quyết đền bù như thường lệ. </w:t>
      </w:r>
    </w:p>
    <w:p w14:paraId="1C11A711" w14:textId="15E886CA" w:rsidR="00582C10" w:rsidRP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t>Thứ hai, nhà đầu tư chịu nhiều rủi ro hơn so với bên vay, bởi vì tại nhiều quốc gia, bên vay vẫn được hưởng các quyền lợi theo quy định về bảo vệ người đi vay như các quy định về lãi suất, quyền được cung cấp thông tin… trong khi nhà đầu tư lại không được hưởng các quyền lợi liên quan đến việc bảo vệ người gửi tiền như trong hệ thống ngân hàng, trong khi đó vẫn phải chịu các rủi ro về tín dụng, thanh khoản, pháp lý… Hơn nữa, nhà đầu tư chịu thêm rủi ro đạo đức xảy ra khi: (i) Bên vay không trả được nợ (do khách quan hay cố ý, dù có thể được bù đắp một phần từ công ty P2P Lending); và/hoặc (ii) Công ty P2P Lending dùng tiền đầu tư sai mục đích, quản lý kém hoặc phá sản (do khách quan hay cố ý)… dẫn đến khả năng mất vốn. </w:t>
      </w:r>
    </w:p>
    <w:p w14:paraId="6C430ADF" w14:textId="33487BE1" w:rsidR="00582C10" w:rsidRP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lastRenderedPageBreak/>
        <w:t>Thứ ba, những biến tướng của hình thức cho vay này (như công ty P2P Lending lừa đảo, áp dụng lãi suất và phí cao ngất ngưởng bất chấp khả năng trả nợ của bên vay; hoặc bên vay trốn tránh trả nợ dẫn đến bên cho vay hoặc công ty P2P Lending dùng mọi biện pháp kể cả thuê xã hội đen đòi nợ; nhà đầu tư không hiểu rõ mô hình hoạt động và khi mất vốn kéo đến cơ quan quản lý để đòi tiền như đã xảy ra tại Trung Quốc…) dẫn đến diễn biến rất phức tạp, hệ lụy kinh tế và xã hội khó lường. </w:t>
      </w:r>
    </w:p>
    <w:p w14:paraId="6304F9BB" w14:textId="6EFDCE70" w:rsidR="00582C10" w:rsidRPr="00582C10" w:rsidRDefault="00582C10" w:rsidP="00582C10">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t>Thứ tư, rủi ro pháp lý cũng có thể xảy ra khi khung khổ pháp lý chưa đầy đủ và có thể bị thay đổi nhanh chóng, dẫn đến rủi ro cho cả phía doanh nghiệp và nhà đầu tư. Cơ sở pháp lý chưa đầy đủ sẽ dẫn đến việc thiếu căn cứ để giải quyết khi xảy ra rủi ro, tranh chấp… có thể dẫn đến chậm phát triển các dịch vụ P2P Lending, không đáp ứng kịp cho nhu cầu thị trường.</w:t>
      </w:r>
    </w:p>
    <w:p w14:paraId="50ED6A5A" w14:textId="2D091488" w:rsidR="00582C10" w:rsidRPr="00582C10" w:rsidRDefault="00582C10"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Thứ năm, </w:t>
      </w:r>
      <w:r w:rsidRPr="00582C10">
        <w:rPr>
          <w:rFonts w:ascii="Times New Roman" w:eastAsia="Times New Roman" w:hAnsi="Times New Roman" w:cs="Times New Roman"/>
          <w:color w:val="000000" w:themeColor="text1"/>
          <w:kern w:val="0"/>
          <w:sz w:val="28"/>
          <w:szCs w:val="28"/>
          <w14:ligatures w14:val="none"/>
        </w:rPr>
        <w:t>rủi ro kỹ thuật và lừa đảo cũng là một yếu tố có thể gây ra rủi ro cho các bên tham gia thị trường P2P Lending. Với cơ sở chính dựa trên nền tảng công nghệ, những rủi ro về lỗi kỹ thuật, hoặc tấn công mạng, mất cắp thông tin… có thể gây rủi ro mất tiền cho cả công ty P2P Lending và nhà đầu tư. Tại Việt Nam, một vài trường hợp đã từng gây xôn xao dư luận như trường hợp công ty Cashwago (tại TP. Hồ Chí Minh năm 2020)…</w:t>
      </w:r>
    </w:p>
    <w:p w14:paraId="412D9F5F" w14:textId="36188FDD" w:rsidR="00582C10" w:rsidRPr="00AF782B" w:rsidRDefault="00582C10" w:rsidP="00AF782B">
      <w:pPr>
        <w:ind w:firstLine="709"/>
        <w:jc w:val="both"/>
        <w:rPr>
          <w:rFonts w:ascii="Times New Roman" w:eastAsia="Times New Roman" w:hAnsi="Times New Roman" w:cs="Times New Roman"/>
          <w:i/>
          <w:color w:val="000000" w:themeColor="text1"/>
          <w:kern w:val="0"/>
          <w:sz w:val="28"/>
          <w:szCs w:val="28"/>
          <w14:ligatures w14:val="none"/>
        </w:rPr>
      </w:pPr>
      <w:r w:rsidRPr="00AF782B">
        <w:rPr>
          <w:rFonts w:ascii="Times New Roman" w:eastAsia="Times New Roman" w:hAnsi="Times New Roman" w:cs="Times New Roman"/>
          <w:i/>
          <w:color w:val="000000" w:themeColor="text1"/>
          <w:kern w:val="0"/>
          <w:sz w:val="28"/>
          <w:szCs w:val="28"/>
          <w14:ligatures w14:val="none"/>
        </w:rPr>
        <w:t>Các mô hình P2P Lending trên thế giới</w:t>
      </w:r>
    </w:p>
    <w:p w14:paraId="039DC903" w14:textId="77777777" w:rsidR="00582C10" w:rsidRPr="00AF782B" w:rsidRDefault="00582C10" w:rsidP="00AF782B">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t>Mô hình P2P Lending trên thế giới có thể được chia thành hai loại chính, bao gồm mô hình cho vay trực tiếp và mô hình cho vay gián tiếp. </w:t>
      </w:r>
    </w:p>
    <w:p w14:paraId="3216CDDD" w14:textId="574A332F" w:rsidR="00582C10" w:rsidRPr="00582C10" w:rsidRDefault="00582C10" w:rsidP="00AF782B">
      <w:pPr>
        <w:ind w:firstLine="709"/>
        <w:jc w:val="both"/>
        <w:rPr>
          <w:rFonts w:ascii="RR" w:eastAsia="Times New Roman" w:hAnsi="RR" w:cs="Times New Roman"/>
          <w:color w:val="333333"/>
          <w:kern w:val="0"/>
          <w:sz w:val="23"/>
          <w:szCs w:val="23"/>
          <w:lang w:eastAsia="zh-CN"/>
          <w14:ligatures w14:val="none"/>
        </w:rPr>
      </w:pPr>
      <w:r w:rsidRPr="00AF782B">
        <w:rPr>
          <w:rFonts w:ascii="Times New Roman" w:eastAsia="Times New Roman" w:hAnsi="Times New Roman" w:cs="Times New Roman"/>
          <w:color w:val="000000" w:themeColor="text1"/>
          <w:kern w:val="0"/>
          <w:sz w:val="28"/>
          <w:szCs w:val="28"/>
          <w14:ligatures w14:val="none"/>
        </w:rPr>
        <w:t>Thứ nhất,</w:t>
      </w:r>
      <w:r w:rsidRPr="00582C10">
        <w:rPr>
          <w:rFonts w:ascii="Times New Roman" w:eastAsia="Times New Roman" w:hAnsi="Times New Roman" w:cs="Times New Roman"/>
          <w:color w:val="000000" w:themeColor="text1"/>
          <w:kern w:val="0"/>
          <w:sz w:val="28"/>
          <w:szCs w:val="28"/>
          <w14:ligatures w14:val="none"/>
        </w:rPr>
        <w:t> mô hình cho vay trực tiếp như ZOPA (Anh), Funding Circle (Anh)... là mô hình cho vay đơn giản, tương tự như các giao dịch mua bán online thông thường. Quy trình cho vay bao gồm việc người đi vay gửi yêu cầu vay trên nền tảng P2P Lending theo form có sẵn và người cho vay sẽ lựa chọn khoản cho vay mà họ cho là khả thi để thực hiện tài trợ (Hình 2)</w:t>
      </w:r>
      <w:r w:rsidR="00AF782B">
        <w:rPr>
          <w:rFonts w:ascii="Times New Roman" w:eastAsia="Times New Roman" w:hAnsi="Times New Roman" w:cs="Times New Roman"/>
          <w:color w:val="000000" w:themeColor="text1"/>
          <w:kern w:val="0"/>
          <w:sz w:val="28"/>
          <w:szCs w:val="28"/>
          <w14:ligatures w14:val="none"/>
        </w:rPr>
        <w:t>.</w:t>
      </w:r>
    </w:p>
    <w:p w14:paraId="2FE4789E" w14:textId="77777777" w:rsidR="00582C10" w:rsidRPr="00582C10" w:rsidRDefault="00582C10" w:rsidP="00582C10">
      <w:pPr>
        <w:spacing w:after="0" w:line="240" w:lineRule="auto"/>
        <w:jc w:val="center"/>
        <w:rPr>
          <w:rFonts w:ascii="Times New Roman" w:eastAsia="Times New Roman" w:hAnsi="Times New Roman" w:cs="Times New Roman"/>
          <w:color w:val="333333"/>
          <w:kern w:val="0"/>
          <w:sz w:val="28"/>
          <w:szCs w:val="28"/>
          <w:lang w:eastAsia="zh-CN"/>
          <w14:ligatures w14:val="none"/>
        </w:rPr>
      </w:pPr>
      <w:r w:rsidRPr="00AF782B">
        <w:rPr>
          <w:rFonts w:ascii="Times New Roman" w:eastAsia="Times New Roman" w:hAnsi="Times New Roman" w:cs="Times New Roman"/>
          <w:b/>
          <w:bCs/>
          <w:kern w:val="0"/>
          <w:sz w:val="28"/>
          <w:szCs w:val="28"/>
          <w:lang w:eastAsia="zh-CN"/>
          <w14:ligatures w14:val="none"/>
        </w:rPr>
        <w:t>Hình 2: Mô hình P2P Lending trực tiếp</w:t>
      </w:r>
      <w:r w:rsidRPr="00582C10">
        <w:rPr>
          <w:rFonts w:ascii="Times New Roman" w:eastAsia="Times New Roman" w:hAnsi="Times New Roman" w:cs="Times New Roman"/>
          <w:color w:val="333333"/>
          <w:kern w:val="0"/>
          <w:sz w:val="28"/>
          <w:szCs w:val="28"/>
          <w:lang w:eastAsia="zh-CN"/>
          <w14:ligatures w14:val="none"/>
        </w:rPr>
        <w:br/>
        <w:t> </w:t>
      </w:r>
    </w:p>
    <w:p w14:paraId="6AF41D5D" w14:textId="5DB99CEB" w:rsidR="00582C10" w:rsidRDefault="00582C10" w:rsidP="00582C10">
      <w:pPr>
        <w:spacing w:after="0" w:line="240" w:lineRule="auto"/>
        <w:jc w:val="center"/>
        <w:rPr>
          <w:rFonts w:ascii="RR" w:eastAsia="Times New Roman" w:hAnsi="RR" w:cs="Times New Roman"/>
          <w:color w:val="333333"/>
          <w:kern w:val="0"/>
          <w:sz w:val="23"/>
          <w:szCs w:val="23"/>
          <w:lang w:eastAsia="zh-CN"/>
          <w14:ligatures w14:val="none"/>
        </w:rPr>
      </w:pPr>
      <w:r w:rsidRPr="00582C10">
        <w:rPr>
          <w:rFonts w:ascii="RR" w:eastAsia="Times New Roman" w:hAnsi="RR" w:cs="Times New Roman"/>
          <w:noProof/>
          <w:color w:val="333333"/>
          <w:kern w:val="0"/>
          <w:sz w:val="23"/>
          <w:szCs w:val="23"/>
          <w:lang w:eastAsia="zh-CN"/>
          <w14:ligatures w14:val="none"/>
        </w:rPr>
        <w:drawing>
          <wp:inline distT="0" distB="0" distL="0" distR="0" wp14:anchorId="5C060F9F" wp14:editId="26EE58E7">
            <wp:extent cx="4201160" cy="1250950"/>
            <wp:effectExtent l="0" t="0" r="8890" b="6350"/>
            <wp:docPr id="2" name="Picture 2" descr="https://tapchinganhang.gov.vn/pic/News/lethithuthuy/images/2(8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tapchinganhang.gov.vn/pic/News/lethithuthuy/images/2(88).JPG"/>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201160" cy="1250950"/>
                    </a:xfrm>
                    <a:prstGeom prst="rect">
                      <a:avLst/>
                    </a:prstGeom>
                    <a:noFill/>
                    <a:ln>
                      <a:noFill/>
                    </a:ln>
                  </pic:spPr>
                </pic:pic>
              </a:graphicData>
            </a:graphic>
          </wp:inline>
        </w:drawing>
      </w:r>
    </w:p>
    <w:p w14:paraId="34C5CC0C" w14:textId="77777777" w:rsidR="00AF782B" w:rsidRPr="00582C10" w:rsidRDefault="00AF782B" w:rsidP="00582C10">
      <w:pPr>
        <w:spacing w:after="0" w:line="240" w:lineRule="auto"/>
        <w:jc w:val="center"/>
        <w:rPr>
          <w:rFonts w:ascii="RR" w:eastAsia="Times New Roman" w:hAnsi="RR" w:cs="Times New Roman"/>
          <w:color w:val="333333"/>
          <w:kern w:val="0"/>
          <w:sz w:val="23"/>
          <w:szCs w:val="23"/>
          <w:lang w:eastAsia="zh-CN"/>
          <w14:ligatures w14:val="none"/>
        </w:rPr>
      </w:pPr>
    </w:p>
    <w:p w14:paraId="32175C11" w14:textId="02AC1B9D" w:rsidR="00582C10" w:rsidRPr="00582C10" w:rsidRDefault="00582C10" w:rsidP="00AF782B">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lastRenderedPageBreak/>
        <w:t>Đặc điểm của mô hình này là các công ty P2P Lending không phải đối mặt với rủi ro của món vay do người cho vay là người ra quyết định về việc cho vay, dù có thể sẽ kiểm duyệt hồ sơ đề nghị vay cũng như thẩm định món vay trước khi công khai trên cổng thông tin chung. Các bên liên quan sẽ chuyển giao nguồn vốn cho vay trực tiếp, công ty P2P Lending tham gia vào quy trình cho vay nhằm mục đích kết nối, giúp đánh giá rủi ro và hưởng phí dịch vụ.</w:t>
      </w:r>
    </w:p>
    <w:p w14:paraId="4533C594" w14:textId="5BA3AB45" w:rsidR="00582C10" w:rsidRPr="00582C10" w:rsidRDefault="00582C10" w:rsidP="00AF782B">
      <w:pPr>
        <w:ind w:firstLine="709"/>
        <w:jc w:val="both"/>
        <w:rPr>
          <w:rFonts w:ascii="RR" w:eastAsia="Times New Roman" w:hAnsi="RR" w:cs="Times New Roman"/>
          <w:color w:val="333333"/>
          <w:kern w:val="0"/>
          <w:sz w:val="23"/>
          <w:szCs w:val="23"/>
          <w:lang w:eastAsia="zh-CN"/>
          <w14:ligatures w14:val="none"/>
        </w:rPr>
      </w:pPr>
      <w:r w:rsidRPr="00AF782B">
        <w:rPr>
          <w:rFonts w:ascii="Times New Roman" w:eastAsia="Times New Roman" w:hAnsi="Times New Roman" w:cs="Times New Roman"/>
          <w:color w:val="000000" w:themeColor="text1"/>
          <w:kern w:val="0"/>
          <w:sz w:val="28"/>
          <w:szCs w:val="28"/>
          <w14:ligatures w14:val="none"/>
        </w:rPr>
        <w:t>Thứ hai,</w:t>
      </w:r>
      <w:r w:rsidRPr="00582C10">
        <w:rPr>
          <w:rFonts w:ascii="Times New Roman" w:eastAsia="Times New Roman" w:hAnsi="Times New Roman" w:cs="Times New Roman"/>
          <w:color w:val="000000" w:themeColor="text1"/>
          <w:kern w:val="0"/>
          <w:sz w:val="28"/>
          <w:szCs w:val="28"/>
          <w14:ligatures w14:val="none"/>
        </w:rPr>
        <w:t> mô hình P2P Lending gián tiếp có hỗ trợ của ngân hàng thương mại (NHTM) như Prosper (Mỹ), Peerform (Mỹ)... Theo đó, việc cho vay được thực hiện trên nền tảng P2P Lending và NHTM sẽ thực hiện thanh toán bù trừ, có thể cả ứng trước vốn, mua bảo hiểm khoản vay... Trong một số trường hợp, khi khách hàng không thanh toán đúng hạn thì có bảo hiểm hoặc sử dụng quỹ dự phòng của công ty P2P Lending. Theo mô hình này, các công ty P2P Lending sẽ chuyển yêu cầu vay của người có nhu cầu đến một NHTM có liên kết. Nếu khoản đề xuất cho vay được chấp thuận, ngân hàng sẽ phát hành giấy nhận nợ cho công ty P2P Lending để khách hàng nhận giải ngân tại NHTM bằng giấy nhận nợ này. Sau đó, khi tìm được người cho vay thì công ty P2P Lending sẽ thanh toán khoản nợ này cho ngân hàng bằng tiền của người cho vay và cấp chứng nhận về món vay cho người cho vay (Hình 3).</w:t>
      </w:r>
    </w:p>
    <w:p w14:paraId="6E2F8A97" w14:textId="77777777" w:rsidR="00582C10" w:rsidRPr="00582C10" w:rsidRDefault="00582C10" w:rsidP="00582C10">
      <w:pPr>
        <w:spacing w:after="0" w:line="240" w:lineRule="auto"/>
        <w:jc w:val="center"/>
        <w:rPr>
          <w:rFonts w:ascii="RR" w:eastAsia="Times New Roman" w:hAnsi="RR" w:cs="Times New Roman"/>
          <w:color w:val="333333"/>
          <w:kern w:val="0"/>
          <w:sz w:val="23"/>
          <w:szCs w:val="23"/>
          <w:lang w:eastAsia="zh-CN"/>
          <w14:ligatures w14:val="none"/>
        </w:rPr>
      </w:pPr>
      <w:r w:rsidRPr="00AF782B">
        <w:rPr>
          <w:rFonts w:ascii="Times New Roman" w:eastAsia="Times New Roman" w:hAnsi="Times New Roman" w:cs="Times New Roman"/>
          <w:b/>
          <w:bCs/>
          <w:kern w:val="0"/>
          <w:sz w:val="28"/>
          <w:szCs w:val="28"/>
          <w:lang w:eastAsia="zh-CN"/>
          <w14:ligatures w14:val="none"/>
        </w:rPr>
        <w:t>Hình 3: Mô hình P2P Lending gián tiếp</w:t>
      </w:r>
      <w:r w:rsidRPr="00582C10">
        <w:rPr>
          <w:rFonts w:ascii="Times New Roman" w:eastAsia="Times New Roman" w:hAnsi="Times New Roman" w:cs="Times New Roman"/>
          <w:b/>
          <w:bCs/>
          <w:kern w:val="0"/>
          <w:sz w:val="28"/>
          <w:szCs w:val="28"/>
          <w:lang w:eastAsia="zh-CN"/>
          <w14:ligatures w14:val="none"/>
        </w:rPr>
        <w:br/>
      </w:r>
      <w:r w:rsidRPr="00582C10">
        <w:rPr>
          <w:rFonts w:ascii="RR" w:eastAsia="Times New Roman" w:hAnsi="RR" w:cs="Times New Roman"/>
          <w:color w:val="333333"/>
          <w:kern w:val="0"/>
          <w:sz w:val="23"/>
          <w:szCs w:val="23"/>
          <w:lang w:eastAsia="zh-CN"/>
          <w14:ligatures w14:val="none"/>
        </w:rPr>
        <w:t> </w:t>
      </w:r>
    </w:p>
    <w:p w14:paraId="30E4BC2A" w14:textId="7B319EA1" w:rsidR="00582C10" w:rsidRPr="00582C10" w:rsidRDefault="00582C10" w:rsidP="00582C10">
      <w:pPr>
        <w:spacing w:after="0" w:line="240" w:lineRule="auto"/>
        <w:jc w:val="center"/>
        <w:rPr>
          <w:rFonts w:ascii="RR" w:eastAsia="Times New Roman" w:hAnsi="RR" w:cs="Times New Roman"/>
          <w:color w:val="333333"/>
          <w:kern w:val="0"/>
          <w:sz w:val="23"/>
          <w:szCs w:val="23"/>
          <w:lang w:eastAsia="zh-CN"/>
          <w14:ligatures w14:val="none"/>
        </w:rPr>
      </w:pPr>
      <w:r w:rsidRPr="00582C10">
        <w:rPr>
          <w:rFonts w:ascii="RR" w:eastAsia="Times New Roman" w:hAnsi="RR" w:cs="Times New Roman"/>
          <w:noProof/>
          <w:color w:val="333333"/>
          <w:kern w:val="0"/>
          <w:sz w:val="23"/>
          <w:szCs w:val="23"/>
          <w:lang w:eastAsia="zh-CN"/>
          <w14:ligatures w14:val="none"/>
        </w:rPr>
        <w:drawing>
          <wp:inline distT="0" distB="0" distL="0" distR="0" wp14:anchorId="6F9230DC" wp14:editId="057659DF">
            <wp:extent cx="4192270" cy="1621790"/>
            <wp:effectExtent l="0" t="0" r="0" b="0"/>
            <wp:docPr id="1" name="Picture 1" descr="https://tapchinganhang.gov.vn/pic/News/lethithuthuy/images/3(5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tapchinganhang.gov.vn/pic/News/lethithuthuy/images/3(52).JPG"/>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192270" cy="1621790"/>
                    </a:xfrm>
                    <a:prstGeom prst="rect">
                      <a:avLst/>
                    </a:prstGeom>
                    <a:noFill/>
                    <a:ln>
                      <a:noFill/>
                    </a:ln>
                  </pic:spPr>
                </pic:pic>
              </a:graphicData>
            </a:graphic>
          </wp:inline>
        </w:drawing>
      </w:r>
      <w:r w:rsidRPr="00582C10">
        <w:rPr>
          <w:rFonts w:ascii="RR" w:eastAsia="Times New Roman" w:hAnsi="RR" w:cs="Times New Roman"/>
          <w:color w:val="333333"/>
          <w:kern w:val="0"/>
          <w:sz w:val="23"/>
          <w:szCs w:val="23"/>
          <w:lang w:eastAsia="zh-CN"/>
          <w14:ligatures w14:val="none"/>
        </w:rPr>
        <w:br/>
        <w:t> </w:t>
      </w:r>
    </w:p>
    <w:p w14:paraId="355C53DF" w14:textId="57A3DA67" w:rsidR="003B5CA5" w:rsidRDefault="00582C10" w:rsidP="00AF782B">
      <w:pPr>
        <w:ind w:firstLine="709"/>
        <w:jc w:val="both"/>
        <w:rPr>
          <w:rFonts w:ascii="Times New Roman" w:eastAsia="Times New Roman" w:hAnsi="Times New Roman" w:cs="Times New Roman"/>
          <w:color w:val="000000" w:themeColor="text1"/>
          <w:kern w:val="0"/>
          <w:sz w:val="28"/>
          <w:szCs w:val="28"/>
          <w14:ligatures w14:val="none"/>
        </w:rPr>
      </w:pPr>
      <w:r w:rsidRPr="00582C10">
        <w:rPr>
          <w:rFonts w:ascii="Times New Roman" w:eastAsia="Times New Roman" w:hAnsi="Times New Roman" w:cs="Times New Roman"/>
          <w:color w:val="000000" w:themeColor="text1"/>
          <w:kern w:val="0"/>
          <w:sz w:val="28"/>
          <w:szCs w:val="28"/>
          <w14:ligatures w14:val="none"/>
        </w:rPr>
        <w:t>Mô hình P2P Lending gián tiếp có lợi cho người đi vay vì có tính thanh khoản cao hơn, người đi vay không cần phải đợi người cho vay chấp nhận, cũng như có thể có thêm đảm bảo từ phía bảo hiểm, quỹ dự phòng khoản vay... Vì vậy, mô hình gián tiếp thường phổ biến hơn mô hình trực tiếp trong thực tế triển khai</w:t>
      </w:r>
      <w:r w:rsidR="00AF782B">
        <w:rPr>
          <w:rFonts w:ascii="Times New Roman" w:eastAsia="Times New Roman" w:hAnsi="Times New Roman" w:cs="Times New Roman"/>
          <w:color w:val="000000" w:themeColor="text1"/>
          <w:kern w:val="0"/>
          <w:sz w:val="28"/>
          <w:szCs w:val="28"/>
          <w14:ligatures w14:val="none"/>
        </w:rPr>
        <w:t>.</w:t>
      </w:r>
    </w:p>
    <w:p w14:paraId="43FE8A51" w14:textId="7E8E7772" w:rsidR="00AF782B" w:rsidRDefault="00AF782B" w:rsidP="00AF782B">
      <w:pPr>
        <w:ind w:firstLine="709"/>
        <w:jc w:val="both"/>
        <w:rPr>
          <w:rFonts w:ascii="Times New Roman" w:eastAsia="Times New Roman" w:hAnsi="Times New Roman" w:cs="Times New Roman"/>
          <w:b/>
          <w:color w:val="000000" w:themeColor="text1"/>
          <w:kern w:val="0"/>
          <w:sz w:val="28"/>
          <w:szCs w:val="28"/>
          <w14:ligatures w14:val="none"/>
        </w:rPr>
      </w:pPr>
      <w:r w:rsidRPr="00AF782B">
        <w:rPr>
          <w:rFonts w:ascii="Times New Roman" w:eastAsia="Times New Roman" w:hAnsi="Times New Roman" w:cs="Times New Roman"/>
          <w:b/>
          <w:color w:val="000000" w:themeColor="text1"/>
          <w:kern w:val="0"/>
          <w:sz w:val="28"/>
          <w:szCs w:val="28"/>
          <w14:ligatures w14:val="none"/>
        </w:rPr>
        <w:t>Huy động vốn bằng tài sản mã hoá (Crypto assets)</w:t>
      </w:r>
    </w:p>
    <w:p w14:paraId="16F3BDDA" w14:textId="33E11A14"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 xml:space="preserve">Tài sản mã hóa là một loại tài sản kỹ thuật số được tạo ra và hoạt động dựa trên kỹ thuật mật mã, công nghệ sổ cái phân tán hoặc công nghệ tương tự. Theo Ngân hàng châu Âu (EAB), TSMH không được phát hành hoặc bảo đảm bởi ngân </w:t>
      </w:r>
      <w:r w:rsidRPr="00AF782B">
        <w:rPr>
          <w:rFonts w:ascii="Times New Roman" w:eastAsia="Times New Roman" w:hAnsi="Times New Roman" w:cs="Times New Roman"/>
          <w:color w:val="000000" w:themeColor="text1"/>
          <w:kern w:val="0"/>
          <w:sz w:val="28"/>
          <w:szCs w:val="28"/>
          <w14:ligatures w14:val="none"/>
        </w:rPr>
        <w:lastRenderedPageBreak/>
        <w:t>hàng trung ương hoặc các tổ chức chính phủ. TSMH có thể được sử dụng như một phương tiện trao đổi, mục đích đầu tư hoặc quyền truy cập, tiếp cận với hàng hóa, dịch vụ.</w:t>
      </w:r>
    </w:p>
    <w:p w14:paraId="3178636B" w14:textId="5DB23AC5"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Hiện nay, TSMH thường được đề cập dưới dạng các thuật ngữ như đồng tiền mã hóa (coins), đồng tiền tiện ích (utility coins, utility tokens), mã thẻ bảo mật chứng khoán (security tokens), mã thẻ nền tảng (platform tokens), mã thẻ bảo mật thanh toán (transactional tokens, payment tokens), mã thẻ bảo mật quản trị (governance tokens). Coin dùng cho những loại tiền điện tử có công nghệ chuỗi khối (blockchain) riêng, như Bitcoin hay Ethereum. Mã thẻ bảo mật (Token) là một dạng tài sản mã hóa dùng chung blockchain với một loại tiền điện tử khác. Nhưng nhìn chung, TSMH có thể phân loại thành ba nhóm: (i) TSMH thanh toán thường được đề cập dưới tên gọi tiền ảo, tiền mã hóa. Loại TSMH này chỉ được sử dụng với chức năng của một loại tiền tệ, là công cụ trung gian thanh toán, như cho phép mua/bán hàng hóa, dịch vụ, đầu tư và tích trữ giá trị; (ii) TSMH đầu tư là loại TSMH cung cấp quyền, có thể là quyền sở hữu đối với tài sản ngoài chuỗi, như bất động sản, thiết bị, doanh nghiệp… hoặc quyền được nhận cổ tức, lợi nhuận…; (iii) TSMH tiện ích là loại TSMH đại diện cho quyền đối với một hàng hóa hoặc dịch vụ cụ thể nào đó, nhưng không thực hiện chức năng thanh toán với các loại hàng hóa, dịch vụ khác.</w:t>
      </w:r>
    </w:p>
    <w:p w14:paraId="4F3A218E" w14:textId="4AD85765"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Các hoạt động phổ biến liên quan tới TSMH gồm có khai thác hay đào (mining), airdrop, huy động vốn (ICO, ITO, STO). Khai thác thực hiện hai chức năng: tạo lập và cho ra đời các mã thẻ bảo mật tiền mã hóa mới; xác minh, xác thực và thêm các giao dịch mạng đang diễn ra vào sổ cái công khai. Airdrop là hoạt động phân phối TSMH miễn phí, phục vụ mục đích quảng cáo, cải thiện sự phổ biến và lưu thông của một loại TSMH. Hoạt động ICO và ITO là huy động vốn từ công chúng nhưng thay vì bán cổ phiếu như IPO, trong mỗi đợt ICO hoặc ITO, một đồng tiền mã hóa mới hoặc thẻ bảo mật tiện ích mới được phát hành cho</w:t>
      </w:r>
      <w:r>
        <w:rPr>
          <w:rFonts w:ascii="Times New Roman" w:eastAsia="Times New Roman" w:hAnsi="Times New Roman" w:cs="Times New Roman"/>
          <w:color w:val="000000" w:themeColor="text1"/>
          <w:kern w:val="0"/>
          <w:sz w:val="28"/>
          <w:szCs w:val="28"/>
          <w14:ligatures w14:val="none"/>
        </w:rPr>
        <w:t xml:space="preserve"> </w:t>
      </w:r>
      <w:r w:rsidRPr="00AF782B">
        <w:rPr>
          <w:rFonts w:ascii="Times New Roman" w:eastAsia="Times New Roman" w:hAnsi="Times New Roman" w:cs="Times New Roman"/>
          <w:color w:val="000000" w:themeColor="text1"/>
          <w:kern w:val="0"/>
          <w:sz w:val="28"/>
          <w:szCs w:val="28"/>
          <w14:ligatures w14:val="none"/>
        </w:rPr>
        <w:t xml:space="preserve">nhà đầu tư để đổi lấy tiền tệ chính thống như USD hoặc các loại tiền mã hóa phổ biến khác như Bitcoin, Ethereum, Litcoin, USDT... Hoạt động STO là hoạt động mà một công ty sẽ phát hành thẻ bảo mật chứng khoán cho các nhà đầu tư. Giá trị của các thẻ bảo mật chứng khoán được đảm bảo bằng tài sản của công ty. Các thẻ bảo mật chứng khoán này có thể được coi là hợp đồng đầu tư ràng buộc pháp lý cho phép nhà đầu tư tiếp cận cổ phần của công ty, cổ tức hằng tháng hoặc có quyền biểu quyết, góp ý kiến trong quá trình ra quyết định kinh doanh của công ty. Sự khác nhau cơ bản của người sở hữu thẻ bảo mật chứng khoán và thẻ bảo mật tiện ích là người sở hữu thẻ bảo mật chứng khoán nắm trong tay quyền sở </w:t>
      </w:r>
      <w:r w:rsidRPr="00AF782B">
        <w:rPr>
          <w:rFonts w:ascii="Times New Roman" w:eastAsia="Times New Roman" w:hAnsi="Times New Roman" w:cs="Times New Roman"/>
          <w:color w:val="000000" w:themeColor="text1"/>
          <w:kern w:val="0"/>
          <w:sz w:val="28"/>
          <w:szCs w:val="28"/>
          <w14:ligatures w14:val="none"/>
        </w:rPr>
        <w:lastRenderedPageBreak/>
        <w:t>hữu tài sản của công ty, trong khi đó người sở hữu thẻ bảo mật tiện ích thì không. Trong khi các nhà đầu tư ICO mua các thẻ bảo mật tiện ích và không nhận được bất kỳ quyền hoặc cổ phần nào từ công ty mà họ đầu tư, các nhà đầu tư STO có nhiều quyền hơn và có thể sở hữu cổ phần tương tự như một doanh nghiệp khởi xướng đợt chào bán IPO truyền thống. Giao dịch thứ cấp TSMH diễn ra trên các sàn giao dịch TSMH, nơi mà những cá nhân có nhu cầu trao đổi, mua bán có thể trực tiếp thực hiện các giao dịch với thời gian 24/7, mọi lúc, mọi nơi. Tại các sàn giao dịch TSMH, người dùng có thể mua, bán trực tiếp hoặc gián tiếp các đồng tiền ảo như: Bitcoin, Ethereum, Token, Altcoin…theo những quy tắc cụ thể của mỗi sàn. Đây được xem là nền tảng thiết yếu, tạo thanh khoản cho TSMH.</w:t>
      </w:r>
    </w:p>
    <w:p w14:paraId="4461992B" w14:textId="689DAC35"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Tài sản mã hóa ban đầu được tạo ra với mục đích thực hiện chức năng thanh toán của tiền tệ, đồng thời thoát khỏi sự kiểm soát của chính phủ. Do đó TSMH đi kèm với những lo ngại về rửa tiền, tài trợ cho các hoạt động tội phạm, trốn thuế, giảm hiệu quả của các chính sách tiền tệ và tài chính của chính phủ nhằm điều tiết các hoạt động của nền kinh tế.</w:t>
      </w:r>
    </w:p>
    <w:p w14:paraId="331B2913" w14:textId="03E46A63"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Khi TSMH được phát triển như một kênh huy động vốn, các cơ quan quản lý chứng khoán lại đối mặt với những thách thức về việc đánh giá tính khả thi của các dự án liên quan, tính minh bạch của các thông tin do các nhà phát hành công bố, quản lý và truy tìm dấu vết của các dòng tiền đầu tư… do những đặc tính của công nghệ blockchain.</w:t>
      </w:r>
    </w:p>
    <w:p w14:paraId="09542087" w14:textId="6CD2187A"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Mặc dù TSMH đã xuất hiện và phát triển trong hơn một thập kỷ gần đây, nhưng các vấn đề về chính sách, quản lý đối với TSMH mới chỉ được chính phủ các quốc gia chú trọng quan tâm trong khoảng 5 năm trở lại đây. Trước đó, các cơ quan quản lý tiền tệ và dịch vụ tài chính toàn cầu coi TSMH là một lĩnh vực, phạm trù ít có ảnh hưởng tới thị trường tài chính và hệ thống tài chính. Tuy nhiên, sự phát triển nhanh của các loại TSMH và sự phổ biến ngày càng rộng rãi của TSMH trên toàn cầu, cũng như những nguy cơ, rủi ro của loại tiền này tới sự ổn định của hệ thống tài chính và sự phát triển của các nền kinh tế, đã buộc các cơ quan quản lý tiền tệ và dịch vụ tài chính phải có cơ chế chính sách và quản lý đối với lĩnh vực này.</w:t>
      </w:r>
    </w:p>
    <w:p w14:paraId="26522A6C" w14:textId="5301E938"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2. Thực trạng tài sản mã hóa tại Việt Nam</w:t>
      </w:r>
    </w:p>
    <w:p w14:paraId="418246EB" w14:textId="2278FDA6"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 xml:space="preserve">Từ năm 2017 tới nay, Việt Nam luôn nằm trong nhóm dẫn đầu trên thế giới về số lượng quan tâm đến TSMH. Điều này thể hiện qua các số liệu thống kê về từ khóa tìm kiếm, số lượng truy cập từ Việt Nam vào các sàn giao dịch tiền mã hóa và các khảo sát liên quan tới việc sở hữu TSMH được thực hiện bởi các tổ </w:t>
      </w:r>
      <w:r w:rsidRPr="00AF782B">
        <w:rPr>
          <w:rFonts w:ascii="Times New Roman" w:eastAsia="Times New Roman" w:hAnsi="Times New Roman" w:cs="Times New Roman"/>
          <w:color w:val="000000" w:themeColor="text1"/>
          <w:kern w:val="0"/>
          <w:sz w:val="28"/>
          <w:szCs w:val="28"/>
          <w14:ligatures w14:val="none"/>
        </w:rPr>
        <w:lastRenderedPageBreak/>
        <w:t>chức nghiên cứu.</w:t>
      </w:r>
      <w:r>
        <w:rPr>
          <w:rFonts w:ascii="Times New Roman" w:eastAsia="Times New Roman" w:hAnsi="Times New Roman" w:cs="Times New Roman"/>
          <w:color w:val="000000" w:themeColor="text1"/>
          <w:kern w:val="0"/>
          <w:sz w:val="28"/>
          <w:szCs w:val="28"/>
          <w14:ligatures w14:val="none"/>
        </w:rPr>
        <w:t xml:space="preserve"> </w:t>
      </w:r>
      <w:r w:rsidRPr="00AF782B">
        <w:rPr>
          <w:rFonts w:ascii="Times New Roman" w:eastAsia="Times New Roman" w:hAnsi="Times New Roman" w:cs="Times New Roman"/>
          <w:color w:val="000000" w:themeColor="text1"/>
          <w:kern w:val="0"/>
          <w:sz w:val="28"/>
          <w:szCs w:val="28"/>
          <w14:ligatures w14:val="none"/>
        </w:rPr>
        <w:t>Hoạt động phổ biến nhất liên quan tới TSMH tại Việt Nam là giao dịch thứ cấp trên sàn giao dịch. Các hoạt động khác cũng đã xuất hiện nhưng chưa phát triển mạnh mẽ.</w:t>
      </w:r>
    </w:p>
    <w:p w14:paraId="71FA2F77" w14:textId="6EDA854B" w:rsidR="00AF782B" w:rsidRPr="00AF782B" w:rsidRDefault="00AF782B" w:rsidP="00AF782B">
      <w:pPr>
        <w:ind w:firstLine="709"/>
        <w:jc w:val="both"/>
        <w:rPr>
          <w:rFonts w:ascii="Times New Roman" w:eastAsia="Times New Roman" w:hAnsi="Times New Roman" w:cs="Times New Roman"/>
          <w:i/>
          <w:color w:val="000000" w:themeColor="text1"/>
          <w:kern w:val="0"/>
          <w:sz w:val="28"/>
          <w:szCs w:val="28"/>
          <w14:ligatures w14:val="none"/>
        </w:rPr>
      </w:pPr>
      <w:r w:rsidRPr="00AF782B">
        <w:rPr>
          <w:rFonts w:ascii="Times New Roman" w:eastAsia="Times New Roman" w:hAnsi="Times New Roman" w:cs="Times New Roman"/>
          <w:i/>
          <w:color w:val="000000" w:themeColor="text1"/>
          <w:kern w:val="0"/>
          <w:sz w:val="28"/>
          <w:szCs w:val="28"/>
          <w14:ligatures w14:val="none"/>
        </w:rPr>
        <w:t>Mua bán tiền mã hóa trên sàn giao dịch</w:t>
      </w:r>
    </w:p>
    <w:p w14:paraId="4781B094" w14:textId="16A79E20"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Các sàn giao dịch TSMH phổ biến, có hỗ trợ cho khách hàng Việt Nam và được tin tưởng bởi thị trường Việt Nam gồm có Remitano, Binance, Bitcoin Diginet... Các sàn cạnh tranh nhau ở mức phí áp dụng đối với các giao dịch. Một số sàn không thu các khoản phí khi nạp tiền vào hệ thống (Bitrext, Huobi), một số sàn như Binance, Remitano, Kucoin, Poloniex... thu phí khi thực hiện các giao dịch rút tiền và mức phí này phụ thuộc vào loại tiền rút. Đa số các sàn thu phí với các giao dịch mua bán và cạnh tranh nhau ở mức phí này. Một số sàn như Bitrext, Binance... quy định về số lượng tiền rút mỗi ngày đối với mỗi tài khoản theo cấp bậc của tài khoản, quy mô giao dịch theo thường kỳ. Các sàn đều áp dụng phương thức bảo mật 2 lớp (2FA) cho tất cả các tài khoản và đây đang được xem là một trong các hình thức bảo mật an toàn và hiệu quả nhất. Không chỉ có hoạt động mua bán TSMH trên sàn, nhiều loại hoạt động tài chính khác như dịch vụ cho vay (Poloniex), giao dịch ký quỹ (BitFinex)... cũng được cung cấp bởi các sàn giao dịch.</w:t>
      </w:r>
    </w:p>
    <w:p w14:paraId="5C6BB556" w14:textId="3769FCC7" w:rsidR="00AF782B" w:rsidRPr="00AF782B" w:rsidRDefault="00AF782B" w:rsidP="00AF782B">
      <w:pPr>
        <w:ind w:firstLine="709"/>
        <w:jc w:val="both"/>
        <w:rPr>
          <w:rFonts w:ascii="Times New Roman" w:eastAsia="Times New Roman" w:hAnsi="Times New Roman" w:cs="Times New Roman"/>
          <w:i/>
          <w:color w:val="000000" w:themeColor="text1"/>
          <w:kern w:val="0"/>
          <w:sz w:val="28"/>
          <w:szCs w:val="28"/>
          <w14:ligatures w14:val="none"/>
        </w:rPr>
      </w:pPr>
      <w:r w:rsidRPr="00AF782B">
        <w:rPr>
          <w:rFonts w:ascii="Times New Roman" w:eastAsia="Times New Roman" w:hAnsi="Times New Roman" w:cs="Times New Roman"/>
          <w:i/>
          <w:color w:val="000000" w:themeColor="text1"/>
          <w:kern w:val="0"/>
          <w:sz w:val="28"/>
          <w:szCs w:val="28"/>
          <w14:ligatures w14:val="none"/>
        </w:rPr>
        <w:t>Phát hành lần đầu tiền mã hóa (ICO)</w:t>
      </w:r>
    </w:p>
    <w:p w14:paraId="6528631E" w14:textId="78133F3F"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Trên thị trường có hai loại dự án ICO, bao gồm dự án ICO do đội ngũ phát triển nước ngoài phát triển và có trung gian, môi giới tại Việt Nam và các dự án ICO do đội ngũ phát triển người Việt Nam. Dự án ICO do đội ngũ phát triển nước ngoài phát triển và nổi bật tại thị trường Việt Nam có thể kể tới như CyberMiles (2017)4, Bankera (2018)5... Một số dự án ICO nổi bật do đội ngũ phát triển người Việt Nam như Kambria (KAT)6... Một số dự án ICO do đội ngũ chuyên gia người Việt Nam thực hiện, triển khai nhưng tập trung phát triển ở nước ngoài, như dự án TOMO7.</w:t>
      </w:r>
    </w:p>
    <w:p w14:paraId="230D00E3" w14:textId="156E55BE" w:rsidR="00AF782B" w:rsidRPr="00AF782B" w:rsidRDefault="00AF782B" w:rsidP="00AF782B">
      <w:pPr>
        <w:ind w:firstLine="709"/>
        <w:jc w:val="both"/>
        <w:rPr>
          <w:rFonts w:ascii="Times New Roman" w:eastAsia="Times New Roman" w:hAnsi="Times New Roman" w:cs="Times New Roman"/>
          <w:i/>
          <w:color w:val="000000" w:themeColor="text1"/>
          <w:kern w:val="0"/>
          <w:sz w:val="28"/>
          <w:szCs w:val="28"/>
          <w14:ligatures w14:val="none"/>
        </w:rPr>
      </w:pPr>
      <w:r w:rsidRPr="00AF782B">
        <w:rPr>
          <w:rFonts w:ascii="Times New Roman" w:eastAsia="Times New Roman" w:hAnsi="Times New Roman" w:cs="Times New Roman"/>
          <w:i/>
          <w:color w:val="000000" w:themeColor="text1"/>
          <w:kern w:val="0"/>
          <w:sz w:val="28"/>
          <w:szCs w:val="28"/>
          <w14:ligatures w14:val="none"/>
        </w:rPr>
        <w:t>Khai thác/đào</w:t>
      </w:r>
    </w:p>
    <w:p w14:paraId="0CEC57A9" w14:textId="47C28766"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Tại Việt Nam, trong năm2017 - 2018, số lượng máy xử lý dữ liệu tự động khai thác tiền mã hóa nhập khẩu về Việt Nam tương đối lớn do không có quy định nào cấm nhập khẩu đối với loại hàng hóa này. Tuy nhiên, cho đến nay, tỷ lệ đào tiền mã hóa đã giảm đáng kể do khó khai thác, máy đào đòi hỏi cấu hình cao hơn và các chi phí đào đều tăng, như chi phí điện, không gian lắp đặt...</w:t>
      </w:r>
    </w:p>
    <w:p w14:paraId="27999A97" w14:textId="44DC0542" w:rsidR="00AF782B" w:rsidRPr="00AF782B" w:rsidRDefault="00AF782B" w:rsidP="00AF782B">
      <w:pPr>
        <w:ind w:firstLine="709"/>
        <w:jc w:val="both"/>
        <w:rPr>
          <w:rFonts w:ascii="Times New Roman" w:eastAsia="Times New Roman" w:hAnsi="Times New Roman" w:cs="Times New Roman"/>
          <w:i/>
          <w:color w:val="000000" w:themeColor="text1"/>
          <w:kern w:val="0"/>
          <w:sz w:val="28"/>
          <w:szCs w:val="28"/>
          <w14:ligatures w14:val="none"/>
        </w:rPr>
      </w:pPr>
      <w:r w:rsidRPr="00AF782B">
        <w:rPr>
          <w:rFonts w:ascii="Times New Roman" w:eastAsia="Times New Roman" w:hAnsi="Times New Roman" w:cs="Times New Roman"/>
          <w:i/>
          <w:color w:val="000000" w:themeColor="text1"/>
          <w:kern w:val="0"/>
          <w:sz w:val="28"/>
          <w:szCs w:val="28"/>
          <w14:ligatures w14:val="none"/>
        </w:rPr>
        <w:t>Máy Bitcoin ATM</w:t>
      </w:r>
    </w:p>
    <w:p w14:paraId="1DF46B8A" w14:textId="0CD12668"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lastRenderedPageBreak/>
        <w:t>Máy Bitcoin ATM đầu tiên tại Việt Nam bắt đầu được đưa vào thử nghiệm vào ngày 05/06/2016 tại cửa hàng bánh pizza Italiani’s tại thành phố Hồ Chí Minh. Chiếc máy này được sản xuất bởi BitAccess (được điều hành bởi Công ty trách nhiệm hữu hạn Bitcoin Vietnam và Bspend) và được kết nối trực tiếp tới sàn giao dịch VBTC để mua và bán Bitcoin ra tiền Việt Nam đồng. Tại châu Á, Việt Nam đã lắp đặt 4 máy Bitcoin ATM, xếp thứ tư trong số các nước sở hữu nhiều máy Bitcoin ATM chỉ sau Nhật Bản, Hồng Kông và Đài Loan.</w:t>
      </w:r>
    </w:p>
    <w:p w14:paraId="3926C01C" w14:textId="4EBB08CC" w:rsidR="00AF782B" w:rsidRPr="00AF782B" w:rsidRDefault="00AF782B" w:rsidP="00AF782B">
      <w:pPr>
        <w:ind w:firstLine="709"/>
        <w:jc w:val="both"/>
        <w:rPr>
          <w:rFonts w:ascii="Times New Roman" w:eastAsia="Times New Roman" w:hAnsi="Times New Roman" w:cs="Times New Roman"/>
          <w:i/>
          <w:color w:val="000000" w:themeColor="text1"/>
          <w:kern w:val="0"/>
          <w:sz w:val="28"/>
          <w:szCs w:val="28"/>
          <w14:ligatures w14:val="none"/>
        </w:rPr>
      </w:pPr>
      <w:r w:rsidRPr="00AF782B">
        <w:rPr>
          <w:rFonts w:ascii="Times New Roman" w:eastAsia="Times New Roman" w:hAnsi="Times New Roman" w:cs="Times New Roman"/>
          <w:i/>
          <w:color w:val="000000" w:themeColor="text1"/>
          <w:kern w:val="0"/>
          <w:sz w:val="28"/>
          <w:szCs w:val="28"/>
          <w14:ligatures w14:val="none"/>
        </w:rPr>
        <w:t>Thanh toán bằng tiền mã hóa</w:t>
      </w:r>
    </w:p>
    <w:p w14:paraId="324A8B3D" w14:textId="784D499B"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Các doanh nghiệp, cá nhân chấp nhận thanh toán bằng tiền mã hóa vẫn đang diễn ra. Nhiều doanh nghiệp toàn cầu tại Việt Nam cho phép người Việt Nam thanh toán bằng Bitcoin đối với các dịch vụ của doanh nghiệp, như: dịch vụ nạp thẻ điện thoại BitRefill, dịch vụ mua vé máy bay, đặt khách sạng và thuê ô tô trên Expedia... (Nguyễn Bảo Huyền, 2018).</w:t>
      </w:r>
    </w:p>
    <w:p w14:paraId="6E1B2F3B" w14:textId="480DB4CC" w:rsidR="00AF782B" w:rsidRPr="00AF782B" w:rsidRDefault="00AF782B" w:rsidP="00AF782B">
      <w:pPr>
        <w:ind w:firstLine="709"/>
        <w:jc w:val="both"/>
        <w:rPr>
          <w:rFonts w:ascii="Times New Roman" w:eastAsia="Times New Roman" w:hAnsi="Times New Roman" w:cs="Times New Roman"/>
          <w:i/>
          <w:color w:val="000000" w:themeColor="text1"/>
          <w:kern w:val="0"/>
          <w:sz w:val="28"/>
          <w:szCs w:val="28"/>
          <w14:ligatures w14:val="none"/>
        </w:rPr>
      </w:pPr>
      <w:r w:rsidRPr="00AF782B">
        <w:rPr>
          <w:rFonts w:ascii="Times New Roman" w:eastAsia="Times New Roman" w:hAnsi="Times New Roman" w:cs="Times New Roman"/>
          <w:i/>
          <w:color w:val="000000" w:themeColor="text1"/>
          <w:kern w:val="0"/>
          <w:sz w:val="28"/>
          <w:szCs w:val="28"/>
          <w14:ligatures w14:val="none"/>
        </w:rPr>
        <w:t>Trả lương bằng tiền mã hóa</w:t>
      </w:r>
    </w:p>
    <w:p w14:paraId="4670BC4E" w14:textId="50DDC8C1"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Trang điện tử Remitano đã cung cấp trang việc làm từ tháng 8/2020 và trả thù lao bằng tiền mã hóa. Người làm sau khi hoàn thành công việc, được đánh giá chấp thuận từ người yêu cầu, người làm sẽ được nhận thù lao ngay lập tức bằng đồng tiền mã hóa vào tài khoản ví Remitano.</w:t>
      </w:r>
    </w:p>
    <w:p w14:paraId="6686D9F9" w14:textId="676B7B5D"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Tại Việt Nam, nhiều đối tượng trục lợi từ lỗ hổng của pháp luật và sự thiếu hiểu biết về các dịch vụ tài chính cũng như ham lợi nhuận của người dân để thực hiện các hành vi lừa đảo, làm xuất hiện nhiều loại hình kinh doanh TSMH biến tấu, đa cấp tại Việt Nam. Một số dự án đa cấp tiền ảo tại Việt Nam xuất hiện nhiều, như tiền ảo Gem, Vitea, BBO, Win… Điểm chung của các dự án này là: lãi suất đưa ra cao; sử dụng chung một quy trình (dùng tiền pháp định để mua Bitcoin, Ethereum, USDT sau đó, sử dụng số tiền ảo này để quy đổi sang tiền ảo nội bộ do các công ty này tự phát hành - tiền ảo rác); mô hình kinh doanh đa cấp (hưởng hoa hồng khi mời thêm được người tham gia và hưởng hoa hồng gián tiếp cho các cấp mạng lưới tiếp theo). Các mô hình kinh doanh này không chỉ diễn ra tại khu vực thành thị, mà còn đang nhanh chóng lan rộng ra khắp các tỉnh thành, đặc biệt là vùng nông thôn, miền núi, vùng sâu, vùng xa. Đồng thời, các đối tượng mà các dự án hướng tới để thu hút đầu tư gồm nhiều thành phần có kiến thức tài chính hạn chế, như sinh viên, bà nội trợ, các cán bộ đã nghỉ hưu…</w:t>
      </w:r>
    </w:p>
    <w:p w14:paraId="5E650C55" w14:textId="41A30FE2"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3. Thách thức của tài sản mã hóa đối với chính sách tài chính</w:t>
      </w:r>
      <w:r>
        <w:rPr>
          <w:rFonts w:ascii="Times New Roman" w:eastAsia="Times New Roman" w:hAnsi="Times New Roman" w:cs="Times New Roman"/>
          <w:color w:val="000000" w:themeColor="text1"/>
          <w:kern w:val="0"/>
          <w:sz w:val="28"/>
          <w:szCs w:val="28"/>
          <w14:ligatures w14:val="none"/>
        </w:rPr>
        <w:t xml:space="preserve"> </w:t>
      </w:r>
      <w:r w:rsidRPr="00AF782B">
        <w:rPr>
          <w:rFonts w:ascii="Times New Roman" w:eastAsia="Times New Roman" w:hAnsi="Times New Roman" w:cs="Times New Roman"/>
          <w:color w:val="000000" w:themeColor="text1"/>
          <w:kern w:val="0"/>
          <w:sz w:val="28"/>
          <w:szCs w:val="28"/>
          <w14:ligatures w14:val="none"/>
        </w:rPr>
        <w:t>-</w:t>
      </w:r>
      <w:r>
        <w:rPr>
          <w:rFonts w:ascii="Times New Roman" w:eastAsia="Times New Roman" w:hAnsi="Times New Roman" w:cs="Times New Roman"/>
          <w:color w:val="000000" w:themeColor="text1"/>
          <w:kern w:val="0"/>
          <w:sz w:val="28"/>
          <w:szCs w:val="28"/>
          <w14:ligatures w14:val="none"/>
        </w:rPr>
        <w:t xml:space="preserve"> </w:t>
      </w:r>
      <w:r w:rsidRPr="00AF782B">
        <w:rPr>
          <w:rFonts w:ascii="Times New Roman" w:eastAsia="Times New Roman" w:hAnsi="Times New Roman" w:cs="Times New Roman"/>
          <w:color w:val="000000" w:themeColor="text1"/>
          <w:kern w:val="0"/>
          <w:sz w:val="28"/>
          <w:szCs w:val="28"/>
          <w14:ligatures w14:val="none"/>
        </w:rPr>
        <w:t>tiền tệ Việt Nam</w:t>
      </w:r>
    </w:p>
    <w:p w14:paraId="659701C7" w14:textId="77777777" w:rsidR="00AF782B" w:rsidRPr="00AF782B" w:rsidRDefault="00AF782B" w:rsidP="00AF782B">
      <w:pPr>
        <w:ind w:firstLine="709"/>
        <w:jc w:val="both"/>
        <w:rPr>
          <w:rFonts w:ascii="Times New Roman" w:eastAsia="Times New Roman" w:hAnsi="Times New Roman" w:cs="Times New Roman"/>
          <w:i/>
          <w:color w:val="000000" w:themeColor="text1"/>
          <w:kern w:val="0"/>
          <w:sz w:val="28"/>
          <w:szCs w:val="28"/>
          <w14:ligatures w14:val="none"/>
        </w:rPr>
      </w:pPr>
    </w:p>
    <w:p w14:paraId="4F1C1B5E" w14:textId="27A515AA" w:rsidR="00AF782B" w:rsidRPr="00AF782B" w:rsidRDefault="00AF782B" w:rsidP="00AF782B">
      <w:pPr>
        <w:ind w:firstLine="709"/>
        <w:jc w:val="both"/>
        <w:rPr>
          <w:rFonts w:ascii="Times New Roman" w:eastAsia="Times New Roman" w:hAnsi="Times New Roman" w:cs="Times New Roman"/>
          <w:i/>
          <w:color w:val="000000" w:themeColor="text1"/>
          <w:kern w:val="0"/>
          <w:sz w:val="28"/>
          <w:szCs w:val="28"/>
          <w14:ligatures w14:val="none"/>
        </w:rPr>
      </w:pPr>
      <w:r w:rsidRPr="00AF782B">
        <w:rPr>
          <w:rFonts w:ascii="Times New Roman" w:eastAsia="Times New Roman" w:hAnsi="Times New Roman" w:cs="Times New Roman"/>
          <w:i/>
          <w:color w:val="000000" w:themeColor="text1"/>
          <w:kern w:val="0"/>
          <w:sz w:val="28"/>
          <w:szCs w:val="28"/>
          <w14:ligatures w14:val="none"/>
        </w:rPr>
        <w:t>Lỗ hổng pháp lý đối với TSMH dẫn đến thiếu cơ sở cho việc ban hành và thực thi các chính sách tài chính - tiền tệ đối với TSMH.</w:t>
      </w:r>
    </w:p>
    <w:p w14:paraId="738757D3" w14:textId="033CD5F5"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Hiện nay vẫn chưa có khuôn khổ pháp lý chính thức quản lý TSMH và các hoạt động liên quan tại Việt Nam. Các quy định liên quan tới TSMH nằm rải rác ở một số văn bản pháp luật và mới chỉ điều chỉnh hoạt động sử dụng TSMH như một phương tiện thanh toán, thay thế cho tiền pháp định. Chính phủ đã có những động thái liên quan tới Bitcoin và các loại tiền mã hóa tương tự khác8. Các tổ chức tín dụng, tổ chức cung ứng dịch vụ trung gian thanh toán không được cung ứng các dịch vụ thanh toán, thực hiện giao dịch thẻ, cấp tín dụng qua thẻ, hỗ trợ xử lý, thanh toán, chuyển tiền, bù trừ và quyết toán, chuyển đổi tiền tệ, thực hiện giao dịch thanh toán, chuyển tiền qua biên giới liên quan tới giao dịch tiền ảo (Chỉ thị 02/CT-NHNN ngày 13/4/2018 về các biện pháp tăng cường kiểm soát các giao dịch, hoạt động liên quan tới tiền ảo). Hành vi phát hành, cung ứng, sử dụng phương tiện thanh toán không hợp pháp như Bitcoin sẽ bị phạt tiền từ 150 đến 200 triệu đồng, thậm chí bị truy cứu trách nhiệm hình sự theo quy định tại điểm h, khoản 1, Điều 206 Bộ luật Hình sự 2015 đã sửa đổi, bổ sung năm 2017 (khoản 6, Điều 27 Nghị định số 96/2014/NĐ-CP ngày 17/10/2014 quy định xử phạt vi phạm hành chính trong lĩnh vực tiền tệ - ngân hàng). Như vậy hiện nay, Việt Nam cũng như nhiều quốc gia trên thế giới, không công nhận tiền mã hóa là đồng tiền pháp định. Đồng thời, Việt Nam cũng chưa ghi nhận giá trị pháp lý của TSMH là một loại hàng hóa hay một loại tài sản. Tuy nhiên, trên thực tế các giao dịch liên quan tới TSMH vẫn diễn ra trên thị trường và không ngừng phát triển.</w:t>
      </w:r>
    </w:p>
    <w:p w14:paraId="2041BBBE" w14:textId="4FE8B826"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Thực trạng trên đã làm cho việc thiết kế, ban hành chính sách tài chính - tiền tệ đối với TSMH còn nhiều thách thức, chưa có cơ sở để thực hiện. Do TSMH chưa được công nhận tính pháp lý là phương tiện thanh toán, hay tài sản, hàng hóa... nên việc áp dụng các chính sách thuế hay quản lý như một loại chứng khoán đối với hoạt động ICO, ITO, STO đều không có cơ sở. Điều này làm cho Nhà nước thất thu đối với các hoạt động phát sinh nhiều lợi nhuận, chưa có cơ chế bảo vệ lợi ích cho người tiêu dùng dịch vụ, nhà đầu tư, việc quyền và lợi ích chính đáng của các chủ thể trong xã hội liên quan tới các giao dịch TSMH chưa được quan tâm và bảo vệ đúng mức.</w:t>
      </w:r>
    </w:p>
    <w:p w14:paraId="78C00735" w14:textId="2DED60BA"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 xml:space="preserve">Trong kịch bản Việt Nam coi TSMH là một loại tài sản hoặc hàng hóa và muốn thu thuế đối với các giao dịch liên quan tới loại tài sản, hàng hóa này thì đây cũng là một thách thức lớn đối với cơ quan quản lý thuế. Việc thu thuế chỉ có </w:t>
      </w:r>
      <w:r w:rsidRPr="00AF782B">
        <w:rPr>
          <w:rFonts w:ascii="Times New Roman" w:eastAsia="Times New Roman" w:hAnsi="Times New Roman" w:cs="Times New Roman"/>
          <w:color w:val="000000" w:themeColor="text1"/>
          <w:kern w:val="0"/>
          <w:sz w:val="28"/>
          <w:szCs w:val="28"/>
          <w14:ligatures w14:val="none"/>
        </w:rPr>
        <w:lastRenderedPageBreak/>
        <w:t>thể được thực hiện trên các sàn giao dịch, các tài khoản giao dịch có đăng ký thông tin, còn trên thực tế không thể kiểm soát được các giao dịch trực tiếp giữa những người sở hữu TSMH với nhau mà không qua đăng ký do không có căn cứ nào để xác định và yêu cầu các giao dịch đó phải nộp thuế liên quan tới TSMH. Đây là kẽ hở để các giao dịch về TSMH thực hiện và cơ quan nhà nước chịu thiệt hại về thất thu thuế. Việc xác định phạm vi quản lý của các quy định liên quan tới TSMH là một vấn đề lớn trong quản lý TSMH. Mỗi chính phủ của mỗi quốc gia khó có thể ngăn chặn và kiểm soát hoàn toàn các dòng lưu chuyển xuyên quốc gia do đặc tính kỹ thuật của các loại TSMH, ngay cả khi thành lập các liên minh đa quốc gia để quản lý thì cũng không thể kiểm soát hoàn toàn được các loại TSMH. Nền tảng cho các quy định về chính sách thuế là dựa trên nền tảng giá trị của đồng tiền pháp định, do đó vấn đề phát sinh là bài toán định giá. Mặc dù, việc định giá có thể dễ dàng hơn do có các trang thông tin về giao dịch, giá của các loại TSMH, nhưng thị trường TSMH hoạt động liên tục, 24/24 giờ, 7 ngày một tuần, biên độ giá cả dao động mạnh.</w:t>
      </w:r>
    </w:p>
    <w:p w14:paraId="594293E7" w14:textId="41C275B0" w:rsidR="00AF782B" w:rsidRPr="00AF782B" w:rsidRDefault="00AF782B" w:rsidP="00AF782B">
      <w:pPr>
        <w:ind w:firstLine="709"/>
        <w:jc w:val="both"/>
        <w:rPr>
          <w:rFonts w:ascii="Times New Roman" w:eastAsia="Times New Roman" w:hAnsi="Times New Roman" w:cs="Times New Roman"/>
          <w:i/>
          <w:color w:val="000000" w:themeColor="text1"/>
          <w:kern w:val="0"/>
          <w:sz w:val="28"/>
          <w:szCs w:val="28"/>
          <w14:ligatures w14:val="none"/>
        </w:rPr>
      </w:pPr>
      <w:r w:rsidRPr="00AF782B">
        <w:rPr>
          <w:rFonts w:ascii="Times New Roman" w:eastAsia="Times New Roman" w:hAnsi="Times New Roman" w:cs="Times New Roman"/>
          <w:i/>
          <w:color w:val="000000" w:themeColor="text1"/>
          <w:kern w:val="0"/>
          <w:sz w:val="28"/>
          <w:szCs w:val="28"/>
          <w14:ligatures w14:val="none"/>
        </w:rPr>
        <w:t>Tài sản mã hóa được phổ biến như một phương tiện thanh toán sẽ làm giảm tính hiệu quả của việc thực thi chính sách tiền tệ.</w:t>
      </w:r>
    </w:p>
    <w:p w14:paraId="7381E03E" w14:textId="5C29C99C"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Sự phát triển lớn</w:t>
      </w:r>
      <w:r>
        <w:rPr>
          <w:rFonts w:ascii="Times New Roman" w:eastAsia="Times New Roman" w:hAnsi="Times New Roman" w:cs="Times New Roman"/>
          <w:color w:val="000000" w:themeColor="text1"/>
          <w:kern w:val="0"/>
          <w:sz w:val="28"/>
          <w:szCs w:val="28"/>
          <w14:ligatures w14:val="none"/>
        </w:rPr>
        <w:t xml:space="preserve"> m</w:t>
      </w:r>
      <w:r w:rsidRPr="00AF782B">
        <w:rPr>
          <w:rFonts w:ascii="Times New Roman" w:eastAsia="Times New Roman" w:hAnsi="Times New Roman" w:cs="Times New Roman"/>
          <w:color w:val="000000" w:themeColor="text1"/>
          <w:kern w:val="0"/>
          <w:sz w:val="28"/>
          <w:szCs w:val="28"/>
          <w14:ligatures w14:val="none"/>
        </w:rPr>
        <w:t>ạnh về số lượng cũng như giá trị và sự phổ biến của TSMH đang đặt ra nhiều thách thức đối với việc điều hành chính sách tiền tệ của NHTW, cũng như vấn đề kiểm soát các mục tiêu, biến số kinh tế vĩ mô như lạm phát, nguồn cung tiền, lãi suất, tỷ giá... (Đặng Vương Anh, 2018).</w:t>
      </w:r>
    </w:p>
    <w:p w14:paraId="75A4A728" w14:textId="4A285C5C"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Tài sản mã hóa tư nhân phát hành mà không nằm trong sự kiểm soát của ngân hàng trung ương, không tạo ra bởi các khoản vay của NHTM, do đó nó làm thay đổi tổng cung tiền không theo ước tính của ngân hàng trung ương và ảnh hưởng tới chính sách tiền tệ (Al-Laham và cộng sự, 2009). Không giống như tiền điện tử về bản chất là việc số hóa hình thái của tiền pháp định, do đó góp phần làm giảm tiền mặt lưu thông trên thị trường, TSMH làm thay đổi tiền trong lưu thông nếu được coi là một loại phương tiện thanh toán. Trong hệ thống tiền tệ truyền thống, ngân hàng trung ương thường điều chỉnh cung tiền thông qua công cụ lãi suất, khuyến khích hoặc hạn chế ngân hàng thương mại cung tín dụng, đáp ứng nhu cầu thị trường. Kênh truyền dẫn chính sách trên không có tác dụng đối với TSMH do tư nhân phát hành. TSMH trong lưu thông sẽ gây ra những ảnh hưởng đến mục tiêu kiểm soát lạm phát của chính sách tiền tệ.</w:t>
      </w:r>
    </w:p>
    <w:p w14:paraId="49BFBE2F" w14:textId="0FF461A3"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 xml:space="preserve">Mặc dù, chưa có số liệu chính xác về giá trị TSMH và tỷ lệ giá trị của loại tài sản này trong lưu thông tại Việt Nam nhưng sự “góp mặt” ngầm của loại tài </w:t>
      </w:r>
      <w:r w:rsidRPr="00AF782B">
        <w:rPr>
          <w:rFonts w:ascii="Times New Roman" w:eastAsia="Times New Roman" w:hAnsi="Times New Roman" w:cs="Times New Roman"/>
          <w:color w:val="000000" w:themeColor="text1"/>
          <w:kern w:val="0"/>
          <w:sz w:val="28"/>
          <w:szCs w:val="28"/>
          <w14:ligatures w14:val="none"/>
        </w:rPr>
        <w:lastRenderedPageBreak/>
        <w:t>sản này trong thanh toán, đầu tư... dường như đã ngoài tầm kiểm soát của các cơ quan chức năng và khả năng sẽ làm cho mục tiêu kiểm soát lạm phát của Ngân hàng Nhà nước trở nên khó khăn hơn.</w:t>
      </w:r>
    </w:p>
    <w:p w14:paraId="1E2803C7" w14:textId="2D526F3A" w:rsidR="00AF782B" w:rsidRPr="00AF782B" w:rsidRDefault="00AF782B" w:rsidP="00AF782B">
      <w:pPr>
        <w:ind w:firstLine="709"/>
        <w:jc w:val="both"/>
        <w:rPr>
          <w:rFonts w:ascii="Times New Roman" w:eastAsia="Times New Roman" w:hAnsi="Times New Roman" w:cs="Times New Roman"/>
          <w:i/>
          <w:color w:val="000000" w:themeColor="text1"/>
          <w:kern w:val="0"/>
          <w:sz w:val="28"/>
          <w:szCs w:val="28"/>
          <w14:ligatures w14:val="none"/>
        </w:rPr>
      </w:pPr>
      <w:r w:rsidRPr="00AF782B">
        <w:rPr>
          <w:rFonts w:ascii="Times New Roman" w:eastAsia="Times New Roman" w:hAnsi="Times New Roman" w:cs="Times New Roman"/>
          <w:i/>
          <w:color w:val="000000" w:themeColor="text1"/>
          <w:kern w:val="0"/>
          <w:sz w:val="28"/>
          <w:szCs w:val="28"/>
          <w14:ligatures w14:val="none"/>
        </w:rPr>
        <w:t>Tài sản mã hóa góp phần làm tăng thách thức đối với việc thực hiện mục tiêu ổn định hệ thống tài chính của chính sách tài chính - tiền tệ.</w:t>
      </w:r>
    </w:p>
    <w:p w14:paraId="3F57D397" w14:textId="63179443"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Việc tăng cường phòng, chống, ngăn ngừa vi phạm pháp luật trong hoạt động thẻ ngân hàng được quy định cụ thể tại Chỉ thị 02/CT-NHNN ngày 07/01/2021 của Ngân hàng Nhà nước. Theo đó, các đơn vị thuộc Ngân hàng Nhà nước, tổ chức phát hành thẻ, tổ chức thanh toán thẻ, tổ chức cung ứng dịch vụ trung gian thanh toán và văn phòng đại diện các tổ chức thẻ quốc tế giám sát, kiểm soát hoạt động thẻ ngân hàng, nhằm ngăn chặn việc sử dụng hạn mức thẻ tín dụng để chuyển tiền, ghi có vào tài khoản thanh toán, thẻ ghi nợ hoặc thẻ trả trước của khách hàng hoặc bên thứ ba (không phải đơn vị chấp nhận thẻ), cũng như giao dịch thanh toán khống tại đơn vị chấp nhận thẻ (không phát sinh việc mua bán hàng hóa và cung ứng dịch vụ) với mục đích rút tiền mặt, giao dịch thẻ không phù hợp quy định của pháp luật liên quan đến hoạt động trò chơi có thưởng, cờ bạc, cá độ, kinh doanh ngoại hối, chứng khoán, tiền ảo, tiền điện tử... Tuy nhiên, việc kiểm soát này khó có thể thực hiện khi nội dung chuyển tiền của các giao dịch liên quan tới tiền ảo đã được các bên tham gia không ghi nội dung liên quan tới tiền ảo, tiền điện tử, Bitcoin... Trên sàn giao dịch Binance, giao dịch mua/bán tiền mã hóa tại Việt Nam vẫn diễn ra hằng ngày, với giao dịch ngang hàng thông qua hình thức chuyển khoản ngân hàng với giá trị giao dịch đa dạng, từ 100 USDT đến 20 nghìn USDT.</w:t>
      </w:r>
    </w:p>
    <w:p w14:paraId="3AD42A5F" w14:textId="1A9FA782"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 xml:space="preserve">Để tận dụng được những lợi ích do TSMH đem lại như một phương tiện thanh toán với chi phí thấp, hay là một loại công cụ tài chính để đầu tư cần dựa trên cơ sở một nền tảng công nghệ, thị trường tài chính, kiến thức tài chính của cộng đồng. Hầu hết các quốc gia chính thức công nhận tính pháp lý của TSMH như một phương tiện thanh toán, một loại tài sản hay công cụ tài chính đều là các quốc gia có thị trường tài chính phát triển (Anh, Singapore, Hồng Kông...), mức độ sử dụng thanh toán không dùng tiền mặt cao (các quốc gia châu Âu). Trong khi đó, thị trường tài chính, kiến thức tài chính của cộng đồng và tài chính toàn diện của Việt Nam còn nhiều hạn chế so với các quốc gia, khu vực như Hồng Kông, Singapore. Báo cáo Cạnh tranh toàn cầu 2015 - 2016 của Diễn đàn Kinh tế thế giới cũng đánh giá, Việt Nam đứng vị trí 103/144 quốc gia về mức độ sẵn có đối với dịch vụ tài chính và chỉ 24% người trưởng thành được xếp vào nhóm có trình độ dân trí về tài chính ở mức cao. Do đó, mặc dù những cảnh báo của Ngân </w:t>
      </w:r>
      <w:r w:rsidRPr="00AF782B">
        <w:rPr>
          <w:rFonts w:ascii="Times New Roman" w:eastAsia="Times New Roman" w:hAnsi="Times New Roman" w:cs="Times New Roman"/>
          <w:color w:val="000000" w:themeColor="text1"/>
          <w:kern w:val="0"/>
          <w:sz w:val="28"/>
          <w:szCs w:val="28"/>
          <w14:ligatures w14:val="none"/>
        </w:rPr>
        <w:lastRenderedPageBreak/>
        <w:t>hàng Nhà nước và các cơ quan chức năng, trong thực tế hiện nay, TSMH tại Việt Nam vẫn có những biến tướng khá phức tạp như mô hình kinh doanh đa cấp dưới hình thức kêu gọi đầu tư TSMH.</w:t>
      </w:r>
    </w:p>
    <w:p w14:paraId="1F59CE13" w14:textId="79E9DF8B" w:rsidR="00AF782B" w:rsidRPr="00AF782B" w:rsidRDefault="00AF782B" w:rsidP="00AF782B">
      <w:pPr>
        <w:ind w:firstLine="709"/>
        <w:jc w:val="both"/>
        <w:rPr>
          <w:rFonts w:ascii="Times New Roman" w:eastAsia="Times New Roman" w:hAnsi="Times New Roman" w:cs="Times New Roman"/>
          <w:i/>
          <w:color w:val="000000" w:themeColor="text1"/>
          <w:kern w:val="0"/>
          <w:sz w:val="28"/>
          <w:szCs w:val="28"/>
          <w14:ligatures w14:val="none"/>
        </w:rPr>
      </w:pPr>
      <w:r w:rsidRPr="00AF782B">
        <w:rPr>
          <w:rFonts w:ascii="Times New Roman" w:eastAsia="Times New Roman" w:hAnsi="Times New Roman" w:cs="Times New Roman"/>
          <w:i/>
          <w:color w:val="000000" w:themeColor="text1"/>
          <w:kern w:val="0"/>
          <w:sz w:val="28"/>
          <w:szCs w:val="28"/>
          <w14:ligatures w14:val="none"/>
        </w:rPr>
        <w:t>Tài sản mã hóa góp phần tạo ra các loại hình dịch vụ tài chính mới, tạo áp lực chuyển đổi lên các loại hình dịch vụ tài chính truyền thống, tăng thách thức cho việc quản lý, giám sát hoạt động của thị trường tài chính.</w:t>
      </w:r>
    </w:p>
    <w:p w14:paraId="5AF3F6FA" w14:textId="1C31D5FA"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Nhiều loại hình dịch vụ mới liên quan tới các giao dịch mã hóa, như nền tảng thẻ bảo mật và dịch vụ quản lý khóa. Xu hướng trên thị trường chứng khoán truyền thống sẽ thay đổi và theo quy trình của các giao dịch mã hóa. Một số thị trường đã có kế hoạch sử dụng công nghệ mã hóa cho quy trình phát hành chứng khoán, lưu ký, đặt lệnh và giao dịch. Quá trình chuyển đổi này của thị trường đòi hỏi các bên tham gia phải thực hiện các chức năng mới liên quan tới TSMH và các quy định mới đối với các giao dịch. Do đó, thực tiễn đòi hỏi những quy định mới đối với cả các loại tài sản truyền thống, cơ chế hoàn toàn mới đối với quy trình và chức năng của hệ thống tài chính, chứ không chỉ đơn thuần là đối với đối tượng, sản phẩm, dịch vụ tài chính mới. Thị trường tài chính truyền thống đang trong quá trình chuyển đổi hiệu quả, toàn diện hơn do đang chuyển hướng sang phi tập trung nhiều hơn.</w:t>
      </w:r>
    </w:p>
    <w:p w14:paraId="0887EC41" w14:textId="3EEAA2AD"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Tài sản mã hóa làm tăng nguy cơ rửa tiền và tài trợ khủng bố, đe dọa an ninh tài chính quốc gia.</w:t>
      </w:r>
    </w:p>
    <w:p w14:paraId="6787164D" w14:textId="4A6F8BEE"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Sự xuất hiện của TSMH làm tăng thách thức đối với phòng ngừa rửa tiền và tội phạm. Xuất phát từ bản chất có khả năng tiếp cận toàn cầu và môi trường tồn tại, phát triển của TSMH, các rủi ro tiềm ẩn liên quan tới khả năng ẩn danh chủ thể dễ dàng, do đó rất khó khăn cho việc xác định và xác minh các chủ thể tham gia giao dịch. Trách nhiệm tuân thủ, giám sát và thực thi đối với các giao dịch có liên quan đến TSMH không thể minh bạch và cụ thể, đặc biệt khi các giao dịch được phân tách ra nhiều công đoạn thực hiện tại các quốc gia, khu vực khác nhau. Do đó, sự giám sát, quản lý từ bộ phận trung tâm hầu như không có khả năng thiết lập và thực hiện.</w:t>
      </w:r>
    </w:p>
    <w:p w14:paraId="02585F99" w14:textId="3458156F"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 xml:space="preserve">Tài sản mã hóa dựa trên nền tảng công nghệ nên có nguy cơ cao bị tin tặc lấy cắp thông tin, truy cập vào các ví điện tử và thực hiện các giao dịch mạo danh. TSMH là lĩnh vực mới nên nhiều đối tượng tham gia thị trường chưa chuẩn bị đầy đủ kiến thức sẽ trở thành đối tượng cho những kẻ lừa đảo. Quản lý không tốt những rủi ro nêu trên có thể làm cho các TSMH dễ bị giả mạo, gian lận và dẫn tới các yêu cầu bồi thường không được hỗ trợ bởi các tài sản sẵn có của các tổ chức </w:t>
      </w:r>
      <w:r w:rsidRPr="00AF782B">
        <w:rPr>
          <w:rFonts w:ascii="Times New Roman" w:eastAsia="Times New Roman" w:hAnsi="Times New Roman" w:cs="Times New Roman"/>
          <w:color w:val="000000" w:themeColor="text1"/>
          <w:kern w:val="0"/>
          <w:sz w:val="28"/>
          <w:szCs w:val="28"/>
          <w14:ligatures w14:val="none"/>
        </w:rPr>
        <w:lastRenderedPageBreak/>
        <w:t>phát hành. Các loại TSMH được phát triển trên nền tảng công nghệ blockchain có các đặc điểm ẩn danh, phân quyền và giả mạo, do đó nó trở thành kênh giao dịch hoàn hảo cho bọn tội phạm thực hiện rửa tiền và các hoạt động tội phạm khác. Các vụ trộm TSMH khó bị phát hiện hơn so với các vụ trộm thông thường bởi một số tội phạm sử dụng các phương tiện đặc biệt để ăn cắp thông qua công nghệ che giấu và phần mềm đặc biệt, hầu hết các trường hợp trộm cắp TSMH không có dấu vết.</w:t>
      </w:r>
    </w:p>
    <w:p w14:paraId="369D2E70" w14:textId="323B1359"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4. Một số khuyến nghị</w:t>
      </w:r>
    </w:p>
    <w:p w14:paraId="156A9198" w14:textId="1F6216E0"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Hiện nay, quy định pháp luật hiện hành của Việt Nam còn hạn chế đối với tiền mã hóa, do đó chưa thể áp dụng các biện pháp quản lý phù hợp đối với loại tài sản này, ngoài việc cấm sử dụng TSMH như một loại tiền tệ chính thống. Việc không có quy định cụ thể nhằm quản lý các hoạt động liên quan đến TSMH nói chung, hoạt động của các sàn giao dịch về TSMH nói riêng làm cho thất thoát một lượng lớn các loại thuế, phí, tạo ra sự bất bình đẳng giữa các chủ thể đang thực hiện các hoạt động kinh doanh. Sự phát triển của TSMH mang tính tất yếu, mặc dù có thể có những đồng tiền thoái trào, nhưng những đồng tiền mới lại xuất hiện, với những ưu điểm nổi trội hơn, bù đắp được những nhược điểm của các đồng tiền trước đó. Hơn nữa, công nghệ blockchain, với những ưu điểm vượt trội, sẽ được ứng dụng ngày càng nhiều trong nhiều lĩnh vực khác nhau, trong đó có lĩnh vực tài chính - ngân hàng. Do đó, Việt Nam nên sớm ban hành các biện pháp quản lý, hoàn thiện khuôn khổ pháp luật đối với các hoạt động liên quan tới tài sản mã hóa.</w:t>
      </w:r>
    </w:p>
    <w:p w14:paraId="6963B7E0" w14:textId="1114452D"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Việt Nam nên sớm hoàn thiện khuôn khổ pháp lý liên quan tới TSMH, công nhận tính pháp lý của TSMH như một loại hàng hóa, nhằm tạo cơ sở cho việc thiết kế và thực thi các chính sách tài chính - tiền tệ đối với đối tượng này.</w:t>
      </w:r>
    </w:p>
    <w:p w14:paraId="48055D73" w14:textId="51AE92DB"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Chính sách tài chính - tiền tệ đối với TSMH nên được ban hành theo bản chất, hoàn cảnh của từng loại hoạt động, giao dịch của tiền mã hóa, áp dụng theo hướng điều chỉnh các hoạt động có đăng ký, có điều kiện tham gia.</w:t>
      </w:r>
    </w:p>
    <w:p w14:paraId="5270B52A" w14:textId="42578DA0"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 xml:space="preserve">Việc quản lý TSMH cần dựa trên bản chất, đặc điểm của từng loại tài sản, rủi ro và sự ảnh hưởng của loại TSMH và loại giao dịch TSMH đó tới tính ổn định của giá cả, tài chính và hệ thống thanh toán. Các loại TSMH được phát hành bởi công ty và với mục đích phục vụ cho sự phát triển của nền tảng công nghệ không nhất thiết phải quản lý như một loại tiền tệ. Để đảm bảo tối đa hóa lợi ích của các nền tảng công nghệ, các loại TSMH này thường không có đầy đủ chức năng của tiền tệ, không phải được tạo ra với mục đích cạnh tranh với tiền pháp định. Do đó, </w:t>
      </w:r>
      <w:r w:rsidRPr="00AF782B">
        <w:rPr>
          <w:rFonts w:ascii="Times New Roman" w:eastAsia="Times New Roman" w:hAnsi="Times New Roman" w:cs="Times New Roman"/>
          <w:color w:val="000000" w:themeColor="text1"/>
          <w:kern w:val="0"/>
          <w:sz w:val="28"/>
          <w:szCs w:val="28"/>
          <w14:ligatures w14:val="none"/>
        </w:rPr>
        <w:lastRenderedPageBreak/>
        <w:t>việc quản lý như đối với tiền tệ đối với loại TSMH này là không cần thiết. Ngược lại, các loại TSMH được tạo ra với đầy đủ chức năng của tiền tệ như Bitcoin, Libra... và với mục đích cạnh tranh với tiền pháp định đòi hỏi phải có sự quản lý như một loại tiền tệ. Với những đặc điểm của TSMH, không thể áp dụng các phương thức quản lý tương tự như đối với tiền tệ thông thường. Do đó, các yêu cầu về lưu trữ hồ sơ, số liệu, chứng cứ về các giao dịch có liên quan là điều cần được thực hiện để đảm bảo tính minh bạch, minh chứng cho các hoạt động có liên quan đến TSMH.</w:t>
      </w:r>
    </w:p>
    <w:p w14:paraId="3A8948E6" w14:textId="48E2DD7B" w:rsidR="00AF782B" w:rsidRPr="00AF782B" w:rsidRDefault="00AF782B" w:rsidP="00AF782B">
      <w:pPr>
        <w:ind w:firstLine="709"/>
        <w:jc w:val="both"/>
        <w:rPr>
          <w:rFonts w:ascii="Times New Roman" w:eastAsia="Times New Roman" w:hAnsi="Times New Roman" w:cs="Times New Roman"/>
          <w:color w:val="000000" w:themeColor="text1"/>
          <w:kern w:val="0"/>
          <w:sz w:val="28"/>
          <w:szCs w:val="28"/>
          <w14:ligatures w14:val="none"/>
        </w:rPr>
      </w:pPr>
      <w:r w:rsidRPr="00AF782B">
        <w:rPr>
          <w:rFonts w:ascii="Times New Roman" w:eastAsia="Times New Roman" w:hAnsi="Times New Roman" w:cs="Times New Roman"/>
          <w:color w:val="000000" w:themeColor="text1"/>
          <w:kern w:val="0"/>
          <w:sz w:val="28"/>
          <w:szCs w:val="28"/>
          <w14:ligatures w14:val="none"/>
        </w:rPr>
        <w:t>Việc ban hành các biện pháp quản lý TSMH và các chính sách liên quan của Việt Nam nên theo hướng thận trọng, có quan sát và vận dụng. Các quy định và chính sách quản lý TSMH cần phải bảo vệ quyền lợi của các bên liên quan, bao gồm: phòng chống rửa tiền; bảo vệ quyền lợi nhà đầu tư và người tiêu dùng, sự ổn định của từng tổ chức tài chính và của cả hệ thống tài chính.</w:t>
      </w:r>
    </w:p>
    <w:p w14:paraId="5E3D7C02" w14:textId="77777777" w:rsidR="00D61E18" w:rsidRDefault="00D61E18">
      <w:pPr>
        <w:rPr>
          <w:rFonts w:ascii="Times New Roman" w:eastAsia="Times New Roman" w:hAnsi="Times New Roman" w:cs="Times New Roman"/>
          <w:b/>
          <w:bCs/>
          <w:color w:val="000000" w:themeColor="text1"/>
          <w:kern w:val="0"/>
          <w:sz w:val="28"/>
          <w:szCs w:val="28"/>
          <w:u w:val="single"/>
          <w:lang w:val="vi-VN"/>
          <w14:ligatures w14:val="none"/>
        </w:rPr>
      </w:pPr>
      <w:r>
        <w:rPr>
          <w:rFonts w:ascii="Times New Roman" w:eastAsia="Times New Roman" w:hAnsi="Times New Roman" w:cs="Times New Roman"/>
          <w:b/>
          <w:bCs/>
          <w:color w:val="000000" w:themeColor="text1"/>
          <w:kern w:val="0"/>
          <w:sz w:val="28"/>
          <w:szCs w:val="28"/>
          <w:u w:val="single"/>
          <w:lang w:val="vi-VN"/>
          <w14:ligatures w14:val="none"/>
        </w:rPr>
        <w:br w:type="page"/>
      </w:r>
    </w:p>
    <w:p w14:paraId="5F98F9C9" w14:textId="5E42BCEC" w:rsidR="007F4610" w:rsidRDefault="00D61E18" w:rsidP="007F4610">
      <w:pPr>
        <w:ind w:firstLine="709"/>
        <w:jc w:val="center"/>
        <w:rPr>
          <w:rFonts w:ascii="Times New Roman" w:eastAsia="Times New Roman" w:hAnsi="Times New Roman" w:cs="Times New Roman"/>
          <w:b/>
          <w:bCs/>
          <w:color w:val="000000" w:themeColor="text1"/>
          <w:kern w:val="0"/>
          <w:sz w:val="28"/>
          <w:szCs w:val="28"/>
          <w:lang w:val="vi-VN"/>
          <w14:ligatures w14:val="none"/>
        </w:rPr>
      </w:pPr>
      <w:r w:rsidRPr="00D61E18">
        <w:rPr>
          <w:rFonts w:ascii="Times New Roman" w:eastAsia="Times New Roman" w:hAnsi="Times New Roman" w:cs="Times New Roman"/>
          <w:b/>
          <w:bCs/>
          <w:color w:val="000000" w:themeColor="text1"/>
          <w:kern w:val="0"/>
          <w:sz w:val="28"/>
          <w:szCs w:val="28"/>
          <w:lang w:val="vi-VN"/>
          <w14:ligatures w14:val="none"/>
        </w:rPr>
        <w:lastRenderedPageBreak/>
        <w:t>KHÁI QUÁT</w:t>
      </w:r>
      <w:r w:rsidRPr="000B0F3D">
        <w:rPr>
          <w:rFonts w:ascii="Times New Roman" w:eastAsia="Times New Roman" w:hAnsi="Times New Roman" w:cs="Times New Roman"/>
          <w:b/>
          <w:bCs/>
          <w:color w:val="000000" w:themeColor="text1"/>
          <w:kern w:val="0"/>
          <w:sz w:val="28"/>
          <w:szCs w:val="28"/>
          <w:lang w:val="vi-VN"/>
          <w14:ligatures w14:val="none"/>
        </w:rPr>
        <w:t xml:space="preserve"> PHÁP LUẬT VỀ SỞ HỮU TRÍ TUỆ</w:t>
      </w:r>
      <w:r w:rsidRPr="00D61E18">
        <w:rPr>
          <w:rFonts w:ascii="Times New Roman" w:eastAsia="Times New Roman" w:hAnsi="Times New Roman" w:cs="Times New Roman"/>
          <w:b/>
          <w:bCs/>
          <w:color w:val="000000" w:themeColor="text1"/>
          <w:kern w:val="0"/>
          <w:sz w:val="28"/>
          <w:szCs w:val="28"/>
          <w:lang w:val="vi-VN"/>
          <w14:ligatures w14:val="none"/>
        </w:rPr>
        <w:t xml:space="preserve"> VÀ BẢO VỆ QUYỀN SỞ HỮU TRÍ TUỆ TRONG THƯƠNG MẠI ĐIỆN TỬ TRƯỚC</w:t>
      </w:r>
      <w:r w:rsidRPr="000B0F3D">
        <w:rPr>
          <w:rFonts w:ascii="Times New Roman" w:eastAsia="Times New Roman" w:hAnsi="Times New Roman" w:cs="Times New Roman"/>
          <w:b/>
          <w:bCs/>
          <w:color w:val="000000" w:themeColor="text1"/>
          <w:kern w:val="0"/>
          <w:sz w:val="28"/>
          <w:szCs w:val="28"/>
          <w:lang w:val="vi-VN"/>
          <w14:ligatures w14:val="none"/>
        </w:rPr>
        <w:t xml:space="preserve"> BỐI CẢNH</w:t>
      </w:r>
      <w:r w:rsidRPr="00D61E18">
        <w:rPr>
          <w:rFonts w:ascii="Times New Roman" w:eastAsia="Times New Roman" w:hAnsi="Times New Roman" w:cs="Times New Roman"/>
          <w:b/>
          <w:bCs/>
          <w:color w:val="000000" w:themeColor="text1"/>
          <w:kern w:val="0"/>
          <w:sz w:val="28"/>
          <w:szCs w:val="28"/>
          <w:lang w:val="vi-VN"/>
          <w14:ligatures w14:val="none"/>
        </w:rPr>
        <w:t xml:space="preserve"> HỘI NHẬP QUỐC TẾ VÀ</w:t>
      </w:r>
      <w:r w:rsidRPr="000B0F3D">
        <w:rPr>
          <w:rFonts w:ascii="Times New Roman" w:eastAsia="Times New Roman" w:hAnsi="Times New Roman" w:cs="Times New Roman"/>
          <w:b/>
          <w:bCs/>
          <w:color w:val="000000" w:themeColor="text1"/>
          <w:kern w:val="0"/>
          <w:sz w:val="28"/>
          <w:szCs w:val="28"/>
          <w:lang w:val="vi-VN"/>
          <w14:ligatures w14:val="none"/>
        </w:rPr>
        <w:t xml:space="preserve"> </w:t>
      </w:r>
      <w:r w:rsidRPr="00D61E18">
        <w:rPr>
          <w:rFonts w:ascii="Times New Roman" w:eastAsia="Times New Roman" w:hAnsi="Times New Roman" w:cs="Times New Roman"/>
          <w:b/>
          <w:bCs/>
          <w:color w:val="000000" w:themeColor="text1"/>
          <w:kern w:val="0"/>
          <w:sz w:val="28"/>
          <w:szCs w:val="28"/>
          <w:lang w:val="vi-VN"/>
          <w14:ligatures w14:val="none"/>
        </w:rPr>
        <w:t>CÁCH MẠNG CÔNG NGHIỆP 4.0</w:t>
      </w:r>
    </w:p>
    <w:p w14:paraId="268E7F50" w14:textId="43B6F9FA" w:rsidR="007F4610" w:rsidRDefault="007F4610" w:rsidP="007F4610">
      <w:pPr>
        <w:ind w:firstLine="709"/>
        <w:jc w:val="center"/>
        <w:rPr>
          <w:rFonts w:ascii="Times New Roman" w:eastAsia="Times New Roman" w:hAnsi="Times New Roman" w:cs="Times New Roman"/>
          <w:b/>
          <w:bCs/>
          <w:color w:val="000000" w:themeColor="text1"/>
          <w:kern w:val="0"/>
          <w:sz w:val="28"/>
          <w:szCs w:val="28"/>
          <w:lang w:val="vi-VN"/>
          <w14:ligatures w14:val="none"/>
        </w:rPr>
      </w:pPr>
      <w:r w:rsidRPr="007F4610">
        <w:rPr>
          <w:rFonts w:ascii="Times New Roman" w:eastAsia="Times New Roman" w:hAnsi="Times New Roman" w:cs="Times New Roman"/>
          <w:b/>
          <w:bCs/>
          <w:color w:val="000000" w:themeColor="text1"/>
          <w:kern w:val="0"/>
          <w:sz w:val="28"/>
          <w:szCs w:val="28"/>
          <w:lang w:val="vi-VN"/>
          <w14:ligatures w14:val="none"/>
        </w:rPr>
        <w:t>Tiến sĩ Bùi Thị Huyền</w:t>
      </w:r>
    </w:p>
    <w:p w14:paraId="41568B71" w14:textId="626E0571" w:rsidR="007F4610" w:rsidRPr="007F4610" w:rsidRDefault="007F4610" w:rsidP="007F4610">
      <w:pPr>
        <w:ind w:firstLine="709"/>
        <w:jc w:val="center"/>
        <w:rPr>
          <w:rFonts w:ascii="Times New Roman" w:eastAsia="Times New Roman" w:hAnsi="Times New Roman" w:cs="Times New Roman"/>
          <w:b/>
          <w:bCs/>
          <w:color w:val="000000" w:themeColor="text1"/>
          <w:kern w:val="0"/>
          <w:sz w:val="28"/>
          <w:szCs w:val="28"/>
          <w:lang w:val="vi-VN"/>
          <w14:ligatures w14:val="none"/>
        </w:rPr>
      </w:pPr>
      <w:r w:rsidRPr="007F4610">
        <w:rPr>
          <w:rFonts w:ascii="Times New Roman" w:eastAsia="Times New Roman" w:hAnsi="Times New Roman" w:cs="Times New Roman"/>
          <w:b/>
          <w:bCs/>
          <w:color w:val="000000" w:themeColor="text1"/>
          <w:kern w:val="0"/>
          <w:sz w:val="28"/>
          <w:szCs w:val="28"/>
          <w:lang w:val="vi-VN"/>
          <w14:ligatures w14:val="none"/>
        </w:rPr>
        <w:t>Khoa Pháp luật kinh tế, Trường Đ</w:t>
      </w:r>
      <w:r w:rsidRPr="009C54C4">
        <w:rPr>
          <w:rFonts w:ascii="Times New Roman" w:eastAsia="Times New Roman" w:hAnsi="Times New Roman" w:cs="Times New Roman"/>
          <w:b/>
          <w:bCs/>
          <w:color w:val="000000" w:themeColor="text1"/>
          <w:kern w:val="0"/>
          <w:sz w:val="28"/>
          <w:szCs w:val="28"/>
          <w:lang w:val="vi-VN"/>
          <w14:ligatures w14:val="none"/>
        </w:rPr>
        <w:t>ại học</w:t>
      </w:r>
      <w:r w:rsidRPr="007F4610">
        <w:rPr>
          <w:rFonts w:ascii="Times New Roman" w:eastAsia="Times New Roman" w:hAnsi="Times New Roman" w:cs="Times New Roman"/>
          <w:b/>
          <w:bCs/>
          <w:color w:val="000000" w:themeColor="text1"/>
          <w:kern w:val="0"/>
          <w:sz w:val="28"/>
          <w:szCs w:val="28"/>
          <w:lang w:val="vi-VN"/>
          <w14:ligatures w14:val="none"/>
        </w:rPr>
        <w:t xml:space="preserve"> Luật Hà Nội</w:t>
      </w:r>
    </w:p>
    <w:p w14:paraId="5E23EDDB" w14:textId="1BA2CDCD" w:rsidR="003B5CA5" w:rsidRPr="000E166C" w:rsidRDefault="003B5CA5" w:rsidP="00E71244">
      <w:pPr>
        <w:ind w:firstLine="709"/>
        <w:jc w:val="both"/>
        <w:rPr>
          <w:rFonts w:ascii="Times New Roman" w:eastAsia="Times New Roman" w:hAnsi="Times New Roman" w:cs="Times New Roman"/>
          <w:bCs/>
          <w:color w:val="000000" w:themeColor="text1"/>
          <w:kern w:val="0"/>
          <w:sz w:val="28"/>
          <w:szCs w:val="28"/>
          <w:lang w:val="vi-VN"/>
          <w14:ligatures w14:val="none"/>
        </w:rPr>
      </w:pPr>
      <w:r w:rsidRPr="000E166C">
        <w:rPr>
          <w:rFonts w:ascii="Times New Roman" w:eastAsia="Times New Roman" w:hAnsi="Times New Roman" w:cs="Times New Roman"/>
          <w:bCs/>
          <w:color w:val="000000" w:themeColor="text1"/>
          <w:kern w:val="0"/>
          <w:sz w:val="28"/>
          <w:szCs w:val="28"/>
          <w:lang w:val="vi-VN"/>
          <w14:ligatures w14:val="none"/>
        </w:rPr>
        <w:t xml:space="preserve">Thời gian qua, hệ thống pháp luật về sở hữu trí tuệ ở nước ta đã được xây dựng, sửa đổi, bổ sung, qua đó, tạo nền tảng pháp lý cơ bản điều chỉnh các vấn đề có liên quan đến việc bảo hộ và thực thi quyền sở hữu trí tuệ. Hiện nay, trước yêu cầu quá trình hội nhập quốc tế ngày càng sâu rộng và toàn diện, trước bối cảnh cách mạng công nghiệp 4.0 </w:t>
      </w:r>
      <w:r w:rsidR="005E37EC" w:rsidRPr="000E166C">
        <w:rPr>
          <w:rFonts w:ascii="Times New Roman" w:eastAsia="Times New Roman" w:hAnsi="Times New Roman" w:cs="Times New Roman"/>
          <w:bCs/>
          <w:color w:val="000000" w:themeColor="text1"/>
          <w:kern w:val="0"/>
          <w:sz w:val="28"/>
          <w:szCs w:val="28"/>
          <w:lang w:val="vi-VN"/>
          <w14:ligatures w14:val="none"/>
        </w:rPr>
        <w:t>hiện</w:t>
      </w:r>
      <w:r w:rsidRPr="000E166C">
        <w:rPr>
          <w:rFonts w:ascii="Times New Roman" w:eastAsia="Times New Roman" w:hAnsi="Times New Roman" w:cs="Times New Roman"/>
          <w:bCs/>
          <w:color w:val="000000" w:themeColor="text1"/>
          <w:kern w:val="0"/>
          <w:sz w:val="28"/>
          <w:szCs w:val="28"/>
          <w:lang w:val="vi-VN"/>
          <w14:ligatures w14:val="none"/>
        </w:rPr>
        <w:t xml:space="preserve"> nay, hệ thống pháp luật về sở hữu trí tuệ cần tiếp tục được hoàn thiện để bảo đảm thực thi hiệu quả các cam kết quốc tế, thúc đẩy việc ứng dụng các kết quả nghiên cứu khoa học - công nghệ vào sản xuất, kinh doanh, góp phần phát triển kinh tế - xã hội của đất nước.</w:t>
      </w:r>
    </w:p>
    <w:p w14:paraId="2368CE4A" w14:textId="77777777" w:rsidR="003B5CA5" w:rsidRPr="0080689F" w:rsidRDefault="003B5CA5" w:rsidP="00E71244">
      <w:pPr>
        <w:ind w:firstLine="709"/>
        <w:jc w:val="both"/>
        <w:rPr>
          <w:rFonts w:ascii="Times New Roman" w:eastAsia="Times New Roman" w:hAnsi="Times New Roman" w:cs="Times New Roman"/>
          <w:b/>
          <w:bCs/>
          <w:color w:val="000000" w:themeColor="text1"/>
          <w:kern w:val="0"/>
          <w:sz w:val="28"/>
          <w:szCs w:val="28"/>
          <w:lang w:val="vi-VN"/>
          <w14:ligatures w14:val="none"/>
        </w:rPr>
      </w:pPr>
      <w:r w:rsidRPr="0080689F">
        <w:rPr>
          <w:rFonts w:ascii="Times New Roman" w:eastAsia="Times New Roman" w:hAnsi="Times New Roman" w:cs="Times New Roman"/>
          <w:b/>
          <w:bCs/>
          <w:color w:val="000000" w:themeColor="text1"/>
          <w:kern w:val="0"/>
          <w:sz w:val="28"/>
          <w:szCs w:val="28"/>
          <w:lang w:val="vi-VN"/>
          <w14:ligatures w14:val="none"/>
        </w:rPr>
        <w:t>Khái quát pháp luật về sở hữu trí tuệ ở Việt Nam hiện nay</w:t>
      </w:r>
    </w:p>
    <w:p w14:paraId="06BEBDA9"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1- </w:t>
      </w:r>
      <w:r w:rsidRPr="000B0F3D">
        <w:rPr>
          <w:rFonts w:ascii="Times New Roman" w:eastAsia="Times New Roman" w:hAnsi="Times New Roman" w:cs="Times New Roman"/>
          <w:color w:val="000000" w:themeColor="text1"/>
          <w:kern w:val="0"/>
          <w:sz w:val="28"/>
          <w:szCs w:val="28"/>
          <w:lang w:val="vi-VN"/>
          <w14:ligatures w14:val="none"/>
        </w:rPr>
        <w:t>Luật Sở hữu trí tuệ được Quốc hội thông qua năm 2005 (Luật số 50/2005/QH11) có hiệu lực thi hành từ ngày 1-7-2006, được sửa đổi, bổ sung năm 2009 (Luật số 36/2009/QH12) và năm 2019 (Luật số 42/2019/QH14), là văn bản pháp luật với các quy định thống nhất, đồng bộ, minh bạch, nhằm điều chỉnh các quan hệ xã hội liên quan đến loại tài sản đặc biệt - tài sản trí tuệ. Luật Sở hữu trí tuệ được ban hành là dấu mốc quan trọng trong quá trình xây dựng, phát triển và hoàn thiện pháp luật về sở hữu trí tuệ của nước ta, có tác động tích cực trong việc thúc đẩy, hỗ trợ các hoạt động sáng tạo, khai thác và bảo vệ các tài sản trí tuệ, khuyến khích cạnh tranh lành mạnh, tăng tính hấp dẫn đối với các chủ thể nước ngoài. Các quy định của Luật Sở hữu trí tuệ bảo đảm nguyên tắc cân bằng lợi ích giữa cá nhân (chủ sở hữu) với công chúng (xã hội), tạo động lực thúc đẩy phát triển hoạt động nghiên cứu sáng tạo, sản xuất, kinh doanh, hướng tới mục tiêu phát triển kinh tế - xã hội, góp phần nâng cao đời sống vật chất và tinh thần cho nhân dân.</w:t>
      </w:r>
    </w:p>
    <w:p w14:paraId="5E7EA887"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Luật Sở hữu trí tuệ tạo hành lang pháp lý, góp phần từng bước thúc đẩy các hoạt động đầu tư, kinh doanh, khai thác, góp vốn, liên doanh, liên kết, chuyển giao, chuyển nhượng các tài sản trí tuệ, phục vụ phát triển kinh tế - xã hội của đất nước. Theo đó, các cơ quan nhà nước có thẩm quyền có cơ sở pháp lý để công nhận, bảo vệ các quyền, lợi ích hợp pháp của các chủ thể khi giải quyết tranh chấp, xâm phạm quyền trong lĩnh vực sở hữu trí tuệ.</w:t>
      </w:r>
    </w:p>
    <w:p w14:paraId="3C141C5C"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lastRenderedPageBreak/>
        <w:t>Trong quá trình hội nhập quốc tế, Luật Sở hữu trí tuệ đã chú trọng tận dụng những linh hoạt mà các cam kết quốc tế cho phép, như đặt ra các điều kiện hạn chế và biện pháp chống lạm dụng quyền, áp dụng cơ chế nhập khẩu song song, chế độ cấp phép bắt buộc,... Do đó, Luật Sở hữu trí tuệ đã thực sự trở thành công cụ pháp lý quan trọng của nước ta trong việc bảo đảm lợi ích quốc gia trong quá trình hội nhập, đồng thời tôn trọng các điều ước quốc tế về sở hữu trí tuệ mà Việt Nam tham gia.</w:t>
      </w:r>
    </w:p>
    <w:p w14:paraId="6A90BCA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Các doanh nghiệp công nghệ ngày càng coi trọng việc tuân thủ pháp luật về sở hữu trí tuệ_Ảnh: bnews.vn</w:t>
      </w:r>
    </w:p>
    <w:p w14:paraId="4DA32F16"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Hiện nay, về cơ bản, Luật Sở hữu trí tuệ của Việt Nam đã đáp ứng các tiêu chuẩn đặt ra của Hiệp định về các khía cạnh liên quan đến thương mại của quyền sở hữu trí tuệ (Hiệp định TRIPS) và các điều ước quốc tế cơ bản liên quan đến sở hữu trí tuệ, như Công ước Pa-ri (Công ước Paris) về bảo hộ quyền sở hữu công nghiệp, Công ước Bơn (Công ước Berne) về bảo hộ các tác phẩm văn học và nghệ thuật, Công ước UPOV về bảo hộ giống cây trồng mới. Các tiêu chuẩn đó được thể hiện ở các khía cạnh: các loại đối tượng bảo hộ, tiêu chuẩn bảo hộ, nội dung và phạm vi quyền, thời hạn bảo hộ, cơ chế bảo hộ và thủ tục xác lập quyền sở hữu trí tuệ.</w:t>
      </w:r>
    </w:p>
    <w:p w14:paraId="08522A99"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Trong các hiệp định thương mại tự do (FTA) được ký kết và có hiệu lực trước năm 2016, như FTA Việt Nam - Chi-lê, FTA Việt Nam - Hàn Quốc, FTA Việt Nam - Liên minh kinh tế Á - Âu..., phần lớn các nghĩa vụ về sở hữu trí tuệ mà Việt Nam cam kết cơ bản đều dẫn chiếu tới các nghĩa vụ đã cam kết tại Hiệp định TRIPS. Chỉ một số ít hiệp định có các quy định cụ thể, cao hơn hoặc chi tiết hơn Hiệp định TRIPS, nhưng các quy định này hoặc đã phù hợp với hệ thống pháp luật sở hữu trí tuệ hiện hành của Việt Nam, hoặc chủ yếu ở dạng không bắt buộc, chỉ đòi hỏi các bên phải nỗ lực thực hiện.</w:t>
      </w:r>
    </w:p>
    <w:p w14:paraId="5338ED9F"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b/>
          <w:bCs/>
          <w:color w:val="000000" w:themeColor="text1"/>
          <w:kern w:val="0"/>
          <w:sz w:val="28"/>
          <w:szCs w:val="28"/>
          <w:lang w:val="vi-VN"/>
          <w14:ligatures w14:val="none"/>
        </w:rPr>
        <w:t>2- </w:t>
      </w:r>
      <w:r w:rsidRPr="000B0F3D">
        <w:rPr>
          <w:rFonts w:ascii="Times New Roman" w:eastAsia="Times New Roman" w:hAnsi="Times New Roman" w:cs="Times New Roman"/>
          <w:color w:val="000000" w:themeColor="text1"/>
          <w:kern w:val="0"/>
          <w:sz w:val="28"/>
          <w:szCs w:val="28"/>
          <w:lang w:val="vi-VN"/>
          <w14:ligatures w14:val="none"/>
        </w:rPr>
        <w:t>Tuy nhiên, sau hơn 15 năm thực thi, Luật Sở hữu trí tuệ còn tồn tại một số bất cập, hạn chế nhất định. Cụ thể là:</w:t>
      </w:r>
    </w:p>
    <w:p w14:paraId="4A00D5E3"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nhất,</w:t>
      </w:r>
      <w:r w:rsidRPr="000B0F3D">
        <w:rPr>
          <w:rFonts w:ascii="Times New Roman" w:eastAsia="Times New Roman" w:hAnsi="Times New Roman" w:cs="Times New Roman"/>
          <w:color w:val="000000" w:themeColor="text1"/>
          <w:kern w:val="0"/>
          <w:sz w:val="28"/>
          <w:szCs w:val="28"/>
          <w:lang w:val="vi-VN"/>
          <w14:ligatures w14:val="none"/>
        </w:rPr>
        <w:t> bất cập trong quy định về chủ sở hữu quyền tác giả, người biểu diễn, chủ sở hữu quyền liên quan trong các trường hợp chuyển nhượng quyền sở hữu, chuyển quyền sử dụng trong các hợp đồng chuyển giao quyền tác giả, quyền liên quan.</w:t>
      </w:r>
    </w:p>
    <w:p w14:paraId="1D1A393D"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hai,</w:t>
      </w:r>
      <w:r w:rsidRPr="000B0F3D">
        <w:rPr>
          <w:rFonts w:ascii="Times New Roman" w:eastAsia="Times New Roman" w:hAnsi="Times New Roman" w:cs="Times New Roman"/>
          <w:color w:val="000000" w:themeColor="text1"/>
          <w:kern w:val="0"/>
          <w:sz w:val="28"/>
          <w:szCs w:val="28"/>
          <w:lang w:val="vi-VN"/>
          <w14:ligatures w14:val="none"/>
        </w:rPr>
        <w:t xml:space="preserve"> bất cập ở quy định hiện hành khi chưa tạo được động lực khuyến khích các tổ chức, cá nhân vốn trực tiếp tạo ra, khai thác và phổ biến sáng chế, </w:t>
      </w:r>
      <w:r w:rsidRPr="000B0F3D">
        <w:rPr>
          <w:rFonts w:ascii="Times New Roman" w:eastAsia="Times New Roman" w:hAnsi="Times New Roman" w:cs="Times New Roman"/>
          <w:color w:val="000000" w:themeColor="text1"/>
          <w:kern w:val="0"/>
          <w:sz w:val="28"/>
          <w:szCs w:val="28"/>
          <w:lang w:val="vi-VN"/>
          <w14:ligatures w14:val="none"/>
        </w:rPr>
        <w:lastRenderedPageBreak/>
        <w:t>kiểu dáng công nghiệp, thiết kế bố trí được tham gia vào quá trình xác lập, khai thác và chuyển giao công nghệ, từ đó dẫn đến hoạt động thương mại hóa sáng chế, kiểu dáng công nghiệp, thiết kế bố trí bị hạn chế.</w:t>
      </w:r>
    </w:p>
    <w:p w14:paraId="12128F7C"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ba,</w:t>
      </w:r>
      <w:r w:rsidRPr="000B0F3D">
        <w:rPr>
          <w:rFonts w:ascii="Times New Roman" w:eastAsia="Times New Roman" w:hAnsi="Times New Roman" w:cs="Times New Roman"/>
          <w:color w:val="000000" w:themeColor="text1"/>
          <w:kern w:val="0"/>
          <w:sz w:val="28"/>
          <w:szCs w:val="28"/>
          <w:lang w:val="vi-VN"/>
          <w14:ligatures w14:val="none"/>
        </w:rPr>
        <w:t> bất cập về thủ tục đăng ký quyền tác giả, quyền liên quan và xác lập quyền sở hữu công nghiệp. </w:t>
      </w:r>
      <w:r w:rsidRPr="000B0F3D">
        <w:rPr>
          <w:rFonts w:ascii="Times New Roman" w:eastAsia="Times New Roman" w:hAnsi="Times New Roman" w:cs="Times New Roman"/>
          <w:i/>
          <w:iCs/>
          <w:color w:val="000000" w:themeColor="text1"/>
          <w:kern w:val="0"/>
          <w:sz w:val="28"/>
          <w:szCs w:val="28"/>
          <w:lang w:val="vi-VN"/>
          <w14:ligatures w14:val="none"/>
        </w:rPr>
        <w:t>Đối với thủ tục đăng ký quyền tác giả, quyền liên quan, </w:t>
      </w:r>
      <w:r w:rsidRPr="000B0F3D">
        <w:rPr>
          <w:rFonts w:ascii="Times New Roman" w:eastAsia="Times New Roman" w:hAnsi="Times New Roman" w:cs="Times New Roman"/>
          <w:color w:val="000000" w:themeColor="text1"/>
          <w:kern w:val="0"/>
          <w:sz w:val="28"/>
          <w:szCs w:val="28"/>
          <w:lang w:val="vi-VN"/>
          <w14:ligatures w14:val="none"/>
        </w:rPr>
        <w:t>chưa có quy định về thành phần hồ sơ để thực hiện đăng ký trực tuyến, chưa quy định rõ trách nhiệm của tổ chức, cá nhân khi thực hiện thủ tục. </w:t>
      </w:r>
      <w:r w:rsidRPr="000B0F3D">
        <w:rPr>
          <w:rFonts w:ascii="Times New Roman" w:eastAsia="Times New Roman" w:hAnsi="Times New Roman" w:cs="Times New Roman"/>
          <w:i/>
          <w:iCs/>
          <w:color w:val="000000" w:themeColor="text1"/>
          <w:kern w:val="0"/>
          <w:sz w:val="28"/>
          <w:szCs w:val="28"/>
          <w:lang w:val="vi-VN"/>
          <w14:ligatures w14:val="none"/>
        </w:rPr>
        <w:t>Đối với thủ tục đăng ký xác lập quyền sở hữu công nghiệp, </w:t>
      </w:r>
      <w:r w:rsidRPr="000B0F3D">
        <w:rPr>
          <w:rFonts w:ascii="Times New Roman" w:eastAsia="Times New Roman" w:hAnsi="Times New Roman" w:cs="Times New Roman"/>
          <w:color w:val="000000" w:themeColor="text1"/>
          <w:kern w:val="0"/>
          <w:sz w:val="28"/>
          <w:szCs w:val="28"/>
          <w:lang w:val="vi-VN"/>
          <w14:ligatures w14:val="none"/>
        </w:rPr>
        <w:t>một số quy định còn phức tạp và chưa hoàn toàn hợp lý, dẫn đến kéo dài thời gian thẩm định đơn xác lập quyền sở hữu công nghiệp.</w:t>
      </w:r>
    </w:p>
    <w:p w14:paraId="6D1755F8"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tư,</w:t>
      </w:r>
      <w:r w:rsidRPr="000B0F3D">
        <w:rPr>
          <w:rFonts w:ascii="Times New Roman" w:eastAsia="Times New Roman" w:hAnsi="Times New Roman" w:cs="Times New Roman"/>
          <w:color w:val="000000" w:themeColor="text1"/>
          <w:kern w:val="0"/>
          <w:sz w:val="28"/>
          <w:szCs w:val="28"/>
          <w:lang w:val="vi-VN"/>
          <w14:ligatures w14:val="none"/>
        </w:rPr>
        <w:t> bất cập trong việc bảo đảm mức độ bảo hộ thỏa đáng và cân bằng trong bảo hộ quyền sở hữu trí tuệ. </w:t>
      </w:r>
      <w:r w:rsidRPr="000B0F3D">
        <w:rPr>
          <w:rFonts w:ascii="Times New Roman" w:eastAsia="Times New Roman" w:hAnsi="Times New Roman" w:cs="Times New Roman"/>
          <w:i/>
          <w:iCs/>
          <w:color w:val="000000" w:themeColor="text1"/>
          <w:kern w:val="0"/>
          <w:sz w:val="28"/>
          <w:szCs w:val="28"/>
          <w:lang w:val="vi-VN"/>
          <w14:ligatures w14:val="none"/>
        </w:rPr>
        <w:t>Trong lĩnh vực quyền tác giả, quyền liên quan,</w:t>
      </w:r>
      <w:r w:rsidRPr="000B0F3D">
        <w:rPr>
          <w:rFonts w:ascii="Times New Roman" w:eastAsia="Times New Roman" w:hAnsi="Times New Roman" w:cs="Times New Roman"/>
          <w:color w:val="000000" w:themeColor="text1"/>
          <w:kern w:val="0"/>
          <w:sz w:val="28"/>
          <w:szCs w:val="28"/>
          <w:lang w:val="vi-VN"/>
          <w14:ligatures w14:val="none"/>
        </w:rPr>
        <w:t> Luật Sở hữu trí tuệ quy định các trường hợp sử dụng tác phẩm đã công bố không phải xin phép, không phải trả tiền nhuận bút, thù lao, nhưng chưa quy định cụ thể đối với các trường hợp khai thác, sử dụng tại thư viện. Bên cạnh đó, Luật Sở hữu trí tuệ cũng chưa quy định rõ đối với việc sử dụng dưới hình thức bản ghi âm, ghi hình nhằm mục đích thương mại (đặc biệt đối với tác phẩm âm nhạc) trong các trường hợp sử dụng quyền tác giả, quyền liên quan không phải xin phép nhưng phải trả tiền nhuận bút, thù lao. </w:t>
      </w:r>
      <w:r w:rsidRPr="000B0F3D">
        <w:rPr>
          <w:rFonts w:ascii="Times New Roman" w:eastAsia="Times New Roman" w:hAnsi="Times New Roman" w:cs="Times New Roman"/>
          <w:i/>
          <w:iCs/>
          <w:color w:val="000000" w:themeColor="text1"/>
          <w:kern w:val="0"/>
          <w:sz w:val="28"/>
          <w:szCs w:val="28"/>
          <w:lang w:val="vi-VN"/>
          <w14:ligatures w14:val="none"/>
        </w:rPr>
        <w:t>Trong lĩnh vực quyền sở hữu công nghiệp, </w:t>
      </w:r>
      <w:r w:rsidRPr="000B0F3D">
        <w:rPr>
          <w:rFonts w:ascii="Times New Roman" w:eastAsia="Times New Roman" w:hAnsi="Times New Roman" w:cs="Times New Roman"/>
          <w:color w:val="000000" w:themeColor="text1"/>
          <w:kern w:val="0"/>
          <w:sz w:val="28"/>
          <w:szCs w:val="28"/>
          <w:lang w:val="vi-VN"/>
          <w14:ligatures w14:val="none"/>
        </w:rPr>
        <w:t>nhiều vấn đề phát sinh từ thực tiễn thi hành cần phải xử lý để bảo đảm mức độ bảo hộ thỏa đáng và cân bằng, như nguyên tắc đánh giá tính mới của sáng chế; các trường hợp cần thiết có thể dẫn đến hủy bỏ hiệu lực bằng độc quyền sáng chế, bằng độc quyền giải pháp hữu ích; xử lý trường hợp nhãn hiệu đăng ký với dụng ý xấu... Bên cạnh đó, một số quy định hiện nay chỉ được đề cập về mặt nguyên tắc trong Luật hoặc chỉ được quy định chi tiết trong các nghị định hoặc thông tư hướng dẫn thi hành đã gây ra một số bất cập trong việc thống nhất áp dụng pháp luật. </w:t>
      </w:r>
      <w:r w:rsidRPr="000B0F3D">
        <w:rPr>
          <w:rFonts w:ascii="Times New Roman" w:eastAsia="Times New Roman" w:hAnsi="Times New Roman" w:cs="Times New Roman"/>
          <w:i/>
          <w:iCs/>
          <w:color w:val="000000" w:themeColor="text1"/>
          <w:kern w:val="0"/>
          <w:sz w:val="28"/>
          <w:szCs w:val="28"/>
          <w:lang w:val="vi-VN"/>
          <w14:ligatures w14:val="none"/>
        </w:rPr>
        <w:t>Trong lĩnh vực giống cây trồng, </w:t>
      </w:r>
      <w:r w:rsidRPr="000B0F3D">
        <w:rPr>
          <w:rFonts w:ascii="Times New Roman" w:eastAsia="Times New Roman" w:hAnsi="Times New Roman" w:cs="Times New Roman"/>
          <w:color w:val="000000" w:themeColor="text1"/>
          <w:kern w:val="0"/>
          <w:sz w:val="28"/>
          <w:szCs w:val="28"/>
          <w:lang w:val="vi-VN"/>
          <w14:ligatures w14:val="none"/>
        </w:rPr>
        <w:t>quy định về ngoại lệ quyền đối với giống cây trồng theo Luật Sở hữu trí tuệ hiện hành còn rộng, chưa có quy định về giới hạn một cách hợp lý. Điều này sẽ ảnh hưởng lớn đến lợi ích hợp pháp của tác giả, đồng thời khó bảo đảm tuân thủ cam kết quốc tế.</w:t>
      </w:r>
    </w:p>
    <w:p w14:paraId="334A07B3"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t>Thứ năm,</w:t>
      </w:r>
      <w:r w:rsidRPr="000B0F3D">
        <w:rPr>
          <w:rFonts w:ascii="Times New Roman" w:eastAsia="Times New Roman" w:hAnsi="Times New Roman" w:cs="Times New Roman"/>
          <w:color w:val="000000" w:themeColor="text1"/>
          <w:kern w:val="0"/>
          <w:sz w:val="28"/>
          <w:szCs w:val="28"/>
          <w:lang w:val="vi-VN"/>
          <w14:ligatures w14:val="none"/>
        </w:rPr>
        <w:t> bất cập trong hoạt động hỗ trợ về sở hữu trí tuệ. Quy định hiện hành về tổ chức đại diện tập thể quyền tác giả, quyền liên quan chưa phù hợp với quy định về đại diện trong Bộ luật Dân sự và chưa theo thông lệ quốc tế. Ngoài ra, Luật Sở hữu trí tuệ cũng chưa quy định rõ quyền và trách nhiệm của tổ chức đại diện tập thể quyền tác giả, quyền liên quan.</w:t>
      </w:r>
    </w:p>
    <w:p w14:paraId="3A163A91"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i/>
          <w:iCs/>
          <w:color w:val="000000" w:themeColor="text1"/>
          <w:kern w:val="0"/>
          <w:sz w:val="28"/>
          <w:szCs w:val="28"/>
          <w:lang w:val="vi-VN"/>
          <w14:ligatures w14:val="none"/>
        </w:rPr>
        <w:lastRenderedPageBreak/>
        <w:t>Thứ sáu,</w:t>
      </w:r>
      <w:r w:rsidRPr="000B0F3D">
        <w:rPr>
          <w:rFonts w:ascii="Times New Roman" w:eastAsia="Times New Roman" w:hAnsi="Times New Roman" w:cs="Times New Roman"/>
          <w:color w:val="000000" w:themeColor="text1"/>
          <w:kern w:val="0"/>
          <w:sz w:val="28"/>
          <w:szCs w:val="28"/>
          <w:lang w:val="vi-VN"/>
          <w14:ligatures w14:val="none"/>
        </w:rPr>
        <w:t> thực thi (bảo vệ) quyền sở hữu trí tuệ chưa thực sự hiệu quả. Việc mở rộng phạm vi áp dụng biện pháp thực thi hành chính đối với các hành vi xâm phạm quyền sở hữu trí tuệ đã tạo ra gánh nặng không cần thiết cho ngân sách nhà nước. Bên cạnh đó, các quy định về thực thi quyền trong môi trường số, hay xử lý tên miền vi phạm pháp luật về sở hữu trí tuệ chưa cụ thể, rõ ràng, gây khó khăn cho các cơ quan thực thi trong việc xử lý các hành vi này.</w:t>
      </w:r>
    </w:p>
    <w:p w14:paraId="01D18CAB"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Bên cạnh đó, các cam kết về sở hữu trí tuệ trong các FTA thế hệ mới gần đây (cụ thể là FTA giữa Việt Nam và Liên minh châu Âu - EVFTA, Hiệp định Đối tác toàn diện và tiến bộ xuyên Thái Bình Dương - CPTPP, Hiệp định Đối tác kinh tế toàn diện khu vực - RCEP) có mức độ mở cửa sâu, phạm vi các vấn đề điều chỉnh đa dạng; trong đó quyền sở hữu trí tuệ đã nâng cao mức bảo hộ vượt bậc so với Hiệp định TRIPS. Việc đặt ra hàng loạt các tiêu chuẩn cao về bảo hộ và thực thi quyền sở hữu trí tuệ của các FTA thế hệ mới đòi hỏi phải sửa đổi, bổ sung Luật Sở hữu trí tuệ, như quy định về bảo hộ nhãn hiệu âm thanh, về bảo hộ dữ liệu thử nghiệm nông hóa phẩm, về thẩm quyền chủ động áp dụng biện pháp kiểm soát tại biên giới, về cơ chế đền bù cho chủ sở hữu sáng chế do chậm trễ trong thủ tục cấp phép lưu hành thị trường của dược phẩm được sản xuất theo sáng chế đó,...</w:t>
      </w:r>
    </w:p>
    <w:p w14:paraId="5F0E343E" w14:textId="77777777" w:rsidR="003B5CA5" w:rsidRPr="000B0F3D" w:rsidRDefault="003B5CA5" w:rsidP="00E71244">
      <w:pPr>
        <w:ind w:firstLine="709"/>
        <w:jc w:val="both"/>
        <w:rPr>
          <w:rFonts w:ascii="Times New Roman" w:eastAsia="Times New Roman" w:hAnsi="Times New Roman" w:cs="Times New Roman"/>
          <w:color w:val="000000" w:themeColor="text1"/>
          <w:kern w:val="0"/>
          <w:sz w:val="28"/>
          <w:szCs w:val="28"/>
          <w:lang w:val="vi-VN"/>
          <w14:ligatures w14:val="none"/>
        </w:rPr>
      </w:pPr>
      <w:r w:rsidRPr="000B0F3D">
        <w:rPr>
          <w:rFonts w:ascii="Times New Roman" w:eastAsia="Times New Roman" w:hAnsi="Times New Roman" w:cs="Times New Roman"/>
          <w:color w:val="000000" w:themeColor="text1"/>
          <w:kern w:val="0"/>
          <w:sz w:val="28"/>
          <w:szCs w:val="28"/>
          <w:lang w:val="vi-VN"/>
          <w14:ligatures w14:val="none"/>
        </w:rPr>
        <w:t>Ngoài ra, việc gia nhập một số điều ước quốc tế gần đây, như Thỏa ước La-hay về đăng ký quốc tế kiểu dáng công nghiệp và Hiệp ước Bu-đa-pét về nộp lưu chủng vi sinh dẫn tới yêu cầu phải sửa đổi, bổ sung một số quy định về thủ tục xác lập quyền sở hữu trí tuệ trong các văn bản quy định chi tiết, hướng dẫn thi hành Luật Sở hữu trí tuệ.</w:t>
      </w:r>
    </w:p>
    <w:p w14:paraId="22C64D99" w14:textId="77777777" w:rsidR="00D61E18" w:rsidRPr="000B0F3D" w:rsidRDefault="00D61E18">
      <w:pPr>
        <w:rPr>
          <w:rFonts w:ascii="Times New Roman" w:hAnsi="Times New Roman" w:cs="Times New Roman"/>
          <w:color w:val="000000" w:themeColor="text1"/>
          <w:sz w:val="28"/>
          <w:szCs w:val="28"/>
          <w:lang w:val="vi-VN"/>
        </w:rPr>
      </w:pPr>
      <w:r w:rsidRPr="000B0F3D">
        <w:rPr>
          <w:rFonts w:ascii="Times New Roman" w:hAnsi="Times New Roman" w:cs="Times New Roman"/>
          <w:color w:val="000000" w:themeColor="text1"/>
          <w:sz w:val="28"/>
          <w:szCs w:val="28"/>
          <w:lang w:val="vi-VN"/>
        </w:rPr>
        <w:br w:type="page"/>
      </w:r>
    </w:p>
    <w:p w14:paraId="3EF70A3D" w14:textId="733F3C90" w:rsidR="003B5CA5" w:rsidRDefault="009C54C4" w:rsidP="009C54C4">
      <w:pPr>
        <w:jc w:val="center"/>
        <w:rPr>
          <w:rFonts w:ascii="Times New Roman" w:hAnsi="Times New Roman" w:cs="Times New Roman"/>
          <w:b/>
          <w:color w:val="000000" w:themeColor="text1"/>
          <w:sz w:val="28"/>
          <w:szCs w:val="28"/>
          <w:lang w:val="vi-VN"/>
        </w:rPr>
      </w:pPr>
      <w:r w:rsidRPr="009C54C4">
        <w:rPr>
          <w:rFonts w:ascii="Times New Roman" w:hAnsi="Times New Roman" w:cs="Times New Roman"/>
          <w:b/>
          <w:color w:val="000000" w:themeColor="text1"/>
          <w:sz w:val="28"/>
          <w:szCs w:val="28"/>
          <w:lang w:val="vi-VN"/>
        </w:rPr>
        <w:lastRenderedPageBreak/>
        <w:t>LUẬT BỒI THƯỜNG THIỆT HẠI NGOÀI HỢP ĐỒNG VIỆT NAM TRƯỚC CÁC THÁCH THỨC CỦA TRÍ TUỆ NHÂN TẠO VÀ CÁC CÔNG NGHỆ SỐ MỚI NỔI</w:t>
      </w:r>
    </w:p>
    <w:p w14:paraId="0B475717" w14:textId="295C6604" w:rsidR="009C54C4" w:rsidRPr="009C54C4" w:rsidRDefault="009C54C4" w:rsidP="009C54C4">
      <w:pPr>
        <w:ind w:firstLine="709"/>
        <w:jc w:val="center"/>
        <w:rPr>
          <w:rFonts w:ascii="Times New Roman" w:hAnsi="Times New Roman" w:cs="Times New Roman"/>
          <w:b/>
          <w:color w:val="000000" w:themeColor="text1"/>
          <w:sz w:val="28"/>
          <w:szCs w:val="28"/>
          <w:lang w:val="vi-VN"/>
        </w:rPr>
      </w:pPr>
      <w:r w:rsidRPr="009C54C4">
        <w:rPr>
          <w:rFonts w:ascii="Times New Roman" w:hAnsi="Times New Roman" w:cs="Times New Roman"/>
          <w:b/>
          <w:color w:val="000000" w:themeColor="text1"/>
          <w:sz w:val="28"/>
          <w:szCs w:val="28"/>
          <w:lang w:val="vi-VN"/>
        </w:rPr>
        <w:t>TS. Đỗ Giang Nam - Trường Đại học Luật - ĐHQGHN</w:t>
      </w:r>
    </w:p>
    <w:p w14:paraId="6F73B759" w14:textId="77777777" w:rsidR="009C54C4" w:rsidRDefault="009C54C4" w:rsidP="009C54C4">
      <w:pPr>
        <w:ind w:firstLine="709"/>
        <w:jc w:val="both"/>
        <w:rPr>
          <w:rStyle w:val="Strong"/>
          <w:rFonts w:ascii="Times New Roman" w:hAnsi="Times New Roman" w:cs="Times New Roman"/>
          <w:b w:val="0"/>
          <w:color w:val="000000" w:themeColor="text1"/>
          <w:sz w:val="28"/>
          <w:szCs w:val="28"/>
          <w:lang w:val="vi-VN"/>
        </w:rPr>
      </w:pPr>
    </w:p>
    <w:p w14:paraId="5ACA2CBB" w14:textId="647ECC62" w:rsidR="009C54C4" w:rsidRPr="009C54C4" w:rsidRDefault="009C54C4" w:rsidP="009C54C4">
      <w:pPr>
        <w:ind w:firstLine="709"/>
        <w:jc w:val="both"/>
        <w:rPr>
          <w:rStyle w:val="Strong"/>
          <w:rFonts w:ascii="Times New Roman" w:hAnsi="Times New Roman" w:cs="Times New Roman"/>
          <w:b w:val="0"/>
          <w:color w:val="000000" w:themeColor="text1"/>
          <w:sz w:val="28"/>
          <w:szCs w:val="28"/>
          <w:lang w:val="vi-VN"/>
        </w:rPr>
      </w:pPr>
      <w:r w:rsidRPr="009C54C4">
        <w:rPr>
          <w:rStyle w:val="Strong"/>
          <w:rFonts w:ascii="Times New Roman" w:hAnsi="Times New Roman" w:cs="Times New Roman"/>
          <w:b w:val="0"/>
          <w:color w:val="000000" w:themeColor="text1"/>
          <w:sz w:val="28"/>
          <w:szCs w:val="28"/>
          <w:lang w:val="vi-VN"/>
        </w:rPr>
        <w:t>Bồi thường thiệt hại ngoài hợp đồng được hiểu là loại trách nhiệm bồi thường không phát sinh từ quan hệ hợp đồng;</w:t>
      </w:r>
    </w:p>
    <w:p w14:paraId="26509D3B" w14:textId="2BE28F7D" w:rsidR="003B5CA5" w:rsidRDefault="009C54C4" w:rsidP="009C54C4">
      <w:pPr>
        <w:ind w:firstLine="709"/>
        <w:jc w:val="both"/>
        <w:rPr>
          <w:rStyle w:val="Strong"/>
          <w:rFonts w:ascii="Times New Roman" w:hAnsi="Times New Roman" w:cs="Times New Roman"/>
          <w:b w:val="0"/>
          <w:color w:val="000000" w:themeColor="text1"/>
          <w:sz w:val="28"/>
          <w:szCs w:val="28"/>
          <w:lang w:val="vi-VN"/>
        </w:rPr>
      </w:pPr>
      <w:r w:rsidRPr="009C54C4">
        <w:rPr>
          <w:rStyle w:val="Strong"/>
          <w:rFonts w:ascii="Times New Roman" w:hAnsi="Times New Roman" w:cs="Times New Roman"/>
          <w:b w:val="0"/>
          <w:color w:val="000000" w:themeColor="text1"/>
          <w:sz w:val="28"/>
          <w:szCs w:val="28"/>
          <w:lang w:val="vi-VN"/>
        </w:rPr>
        <w:t>Người nào có hành vi trái pháp luật xâm phạm đến tính mạng, sức khỏe, danh dự, nhân phẩm, uy tín, tài sản, quyền lợi hợp pháp của người khác mà gây thiệt hại thì phải bồi thường.</w:t>
      </w:r>
    </w:p>
    <w:p w14:paraId="2DA78062" w14:textId="76195FF5" w:rsidR="006B1FE4" w:rsidRPr="006B1FE4" w:rsidRDefault="006B1FE4" w:rsidP="009C54C4">
      <w:pPr>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QUY ĐỊNH HIỆN NAY</w:t>
      </w:r>
    </w:p>
    <w:p w14:paraId="7DAC9674" w14:textId="50D2E86F" w:rsidR="003B5CA5" w:rsidRPr="000B0F3D" w:rsidRDefault="003B5CA5" w:rsidP="00E71244">
      <w:pPr>
        <w:ind w:firstLine="709"/>
        <w:jc w:val="both"/>
        <w:rPr>
          <w:rFonts w:ascii="Times New Roman" w:hAnsi="Times New Roman" w:cs="Times New Roman"/>
          <w:color w:val="000000" w:themeColor="text1"/>
          <w:sz w:val="28"/>
          <w:szCs w:val="28"/>
          <w:lang w:val="vi-VN"/>
        </w:rPr>
      </w:pPr>
      <w:r w:rsidRPr="000B0F3D">
        <w:rPr>
          <w:rStyle w:val="Strong"/>
          <w:rFonts w:ascii="Times New Roman" w:hAnsi="Times New Roman" w:cs="Times New Roman"/>
          <w:color w:val="000000" w:themeColor="text1"/>
          <w:sz w:val="28"/>
          <w:szCs w:val="28"/>
          <w:lang w:val="vi-VN"/>
        </w:rPr>
        <w:t xml:space="preserve">1. </w:t>
      </w:r>
      <w:r w:rsidR="009C54C4" w:rsidRPr="009C54C4">
        <w:rPr>
          <w:rStyle w:val="Strong"/>
          <w:rFonts w:ascii="Times New Roman" w:hAnsi="Times New Roman" w:cs="Times New Roman"/>
          <w:color w:val="000000" w:themeColor="text1"/>
          <w:sz w:val="28"/>
          <w:szCs w:val="28"/>
          <w:lang w:val="vi-VN"/>
        </w:rPr>
        <w:t>Căn cứ phát sinh trách nhiệm bồi thường thiệt hại ngoài hợp đồng</w:t>
      </w:r>
    </w:p>
    <w:p w14:paraId="687E7B46" w14:textId="65DFC78A"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Căn cứ theo Điều 584 Bộ luật Dân sự 2015, quy định</w:t>
      </w:r>
    </w:p>
    <w:p w14:paraId="1B3A4F80" w14:textId="07ED4BA5"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xml:space="preserve">- Người nào có hành vi xâm phạm tính mạng, sức khỏe, danh dự, nhân phẩm, uy tín, tài sản, quyền, lợi ích hợp pháp khác của người khác mà gây thiệt hại thì phải bồi thường, trừ trường hợp Bộ luật Dân sự 2015, luật khác có liên quan quy định </w:t>
      </w:r>
      <w:r w:rsidRPr="009C54C4">
        <w:rPr>
          <w:rFonts w:ascii="Times New Roman" w:hAnsi="Times New Roman" w:cs="Times New Roman"/>
          <w:color w:val="000000" w:themeColor="text1"/>
          <w:sz w:val="28"/>
          <w:szCs w:val="28"/>
          <w:lang w:val="vi-VN"/>
        </w:rPr>
        <w:t>k</w:t>
      </w:r>
      <w:r w:rsidRPr="009C54C4">
        <w:rPr>
          <w:rFonts w:ascii="Times New Roman" w:hAnsi="Times New Roman" w:cs="Times New Roman"/>
          <w:color w:val="000000" w:themeColor="text1"/>
          <w:sz w:val="28"/>
          <w:szCs w:val="28"/>
          <w:lang w:val="vi-VN"/>
        </w:rPr>
        <w:t>hác.</w:t>
      </w:r>
    </w:p>
    <w:p w14:paraId="0F1FCE4E" w14:textId="753B9BEC"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Người gây thiệt hại không phải chịu trách nhiệm bồi thường thiệt hại trong trường hợp thiệt hại phát sinh là do sự kiện bất khả kháng hoặc hoàn toàn do lỗi của bên bị thiệt hại, trừ trường hợp có thỏa thuận khác hoặc luật có quy định khác.</w:t>
      </w:r>
    </w:p>
    <w:p w14:paraId="219D11A5" w14:textId="7BAE9FF6"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Trường hợp tài sản gây thiệt hại thì chủ sở hữu, người chiếm hữu tài sản phải chịu trách nhiệm bồi thường thiệt hại, trừ trường hợp thiệt hại phát sinh do sự kiện bất khả kháng hoặc hoàn toàn do lỗi của bên bị thiệt hại</w:t>
      </w:r>
    </w:p>
    <w:p w14:paraId="1409CFC3" w14:textId="19AF7881"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Như vậy, căn cứ theo quy định trên, trách nhiệm bồi thường thiệt hại ngoài hợp đồng phát sinh khi có các điều kiện:</w:t>
      </w:r>
    </w:p>
    <w:p w14:paraId="1FC216FE" w14:textId="1B2C9DD3"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Có thiệt hại xảy ra</w:t>
      </w:r>
    </w:p>
    <w:p w14:paraId="2BFC5418" w14:textId="7C45C1E6"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Hành vi gây thiệt hại là hành vi trái pháp luật</w:t>
      </w:r>
    </w:p>
    <w:p w14:paraId="5B2D570A" w14:textId="698A5E04"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Có mối quan hệ nhân quả giữa hành vi trái pháp luật và thiệt hại xảy ra.</w:t>
      </w:r>
    </w:p>
    <w:p w14:paraId="78B8C418" w14:textId="462BD89E" w:rsidR="003B5CA5"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Có lỗi cố ý hoặc lỗi vô ý của người gây thiệt hại</w:t>
      </w:r>
    </w:p>
    <w:p w14:paraId="249CE8DC" w14:textId="4CD284E1" w:rsidR="009C54C4" w:rsidRPr="009C54C4" w:rsidRDefault="009C54C4" w:rsidP="009C54C4">
      <w:pPr>
        <w:ind w:firstLine="709"/>
        <w:jc w:val="both"/>
        <w:rPr>
          <w:rFonts w:ascii="Times New Roman" w:hAnsi="Times New Roman" w:cs="Times New Roman"/>
          <w:b/>
          <w:color w:val="000000" w:themeColor="text1"/>
          <w:sz w:val="28"/>
          <w:szCs w:val="28"/>
          <w:lang w:val="vi-VN"/>
        </w:rPr>
      </w:pPr>
      <w:r w:rsidRPr="009C54C4">
        <w:rPr>
          <w:rFonts w:ascii="Times New Roman" w:hAnsi="Times New Roman" w:cs="Times New Roman"/>
          <w:b/>
          <w:color w:val="000000" w:themeColor="text1"/>
          <w:sz w:val="28"/>
          <w:szCs w:val="28"/>
          <w:lang w:val="vi-VN"/>
        </w:rPr>
        <w:lastRenderedPageBreak/>
        <w:t>2</w:t>
      </w:r>
      <w:r w:rsidRPr="009C54C4">
        <w:rPr>
          <w:rFonts w:ascii="Times New Roman" w:hAnsi="Times New Roman" w:cs="Times New Roman"/>
          <w:b/>
          <w:color w:val="000000" w:themeColor="text1"/>
          <w:sz w:val="28"/>
          <w:szCs w:val="28"/>
          <w:lang w:val="vi-VN"/>
        </w:rPr>
        <w:t>. Nguyên tắc bồi thường thiệt hại ngoài hợp đồng</w:t>
      </w:r>
    </w:p>
    <w:p w14:paraId="758308B1" w14:textId="37FDC51E"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Theo quy định tại Điều 585 Bộ luật Dân sự 2015 về nguyên tắc bồi thường thiệt hại ngoài hợp đồng như sau:</w:t>
      </w:r>
    </w:p>
    <w:p w14:paraId="4CF2D629" w14:textId="330A94DE"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Thiệt hại thực tế phải được bồi thường toàn bộ và kịp thời. Các bên có thể thỏa thuận về mức bồi thường, hình thức bồi thường bằng tiền, bằng hiện vật hoặc thực hiện một công việc, phương thức bồi thường một lần hoặc nhiều lần, trừ trường hợp pháp luật có quy định khác.</w:t>
      </w:r>
    </w:p>
    <w:p w14:paraId="225F47F5" w14:textId="4712B084"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Người chịu trách nhiệm bồi thường thiệt hại có thể được giảm mức bồi thường nếu không có lỗi hoặc có lỗi vô ý và thiệt hại quá lớn so với khả năng kinh tế của mình.</w:t>
      </w:r>
    </w:p>
    <w:p w14:paraId="2344309A" w14:textId="0B89F899"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Khi mức bồi thường không còn phù hợp với thực tế thì bên bị thiệt hại hoặc bên gây thiệt hại có quyền yêu cầu Tòa án hoặc cơ quan nhà nước có thẩm quyền khác thay đổi</w:t>
      </w:r>
      <w:r w:rsidRPr="009C54C4">
        <w:rPr>
          <w:rFonts w:ascii="Times New Roman" w:hAnsi="Times New Roman" w:cs="Times New Roman"/>
          <w:color w:val="000000" w:themeColor="text1"/>
          <w:sz w:val="28"/>
          <w:szCs w:val="28"/>
          <w:lang w:val="vi-VN"/>
        </w:rPr>
        <w:t xml:space="preserve"> </w:t>
      </w:r>
      <w:r w:rsidRPr="009C54C4">
        <w:rPr>
          <w:rFonts w:ascii="Times New Roman" w:hAnsi="Times New Roman" w:cs="Times New Roman"/>
          <w:color w:val="000000" w:themeColor="text1"/>
          <w:sz w:val="28"/>
          <w:szCs w:val="28"/>
          <w:lang w:val="vi-VN"/>
        </w:rPr>
        <w:t>mức bồi thường.</w:t>
      </w:r>
    </w:p>
    <w:p w14:paraId="21717B73" w14:textId="695B2FF4"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Khi bên bị thiệt hại có lỗi trong việc gây thiệt hại thì không được bồi thường phần thiệt hại do lỗi của mình gây ra.</w:t>
      </w:r>
    </w:p>
    <w:p w14:paraId="357E539B" w14:textId="0DD96DEF"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Bên có quyền, lợi ích bị xâm phạm không được bồi thường nếu thiệt hại xảy ra do không áp dụng các biện pháp cần thiết, hợp lý để ngăn chặn, hạn chế thiệt hại cho chính mình.</w:t>
      </w:r>
    </w:p>
    <w:p w14:paraId="4A5A2B7D" w14:textId="1C90B91B" w:rsidR="009C54C4" w:rsidRPr="009C54C4" w:rsidRDefault="009C54C4" w:rsidP="009C54C4">
      <w:pPr>
        <w:ind w:firstLine="709"/>
        <w:jc w:val="both"/>
        <w:rPr>
          <w:rFonts w:ascii="Times New Roman" w:hAnsi="Times New Roman" w:cs="Times New Roman"/>
          <w:b/>
          <w:color w:val="000000" w:themeColor="text1"/>
          <w:sz w:val="28"/>
          <w:szCs w:val="28"/>
          <w:lang w:val="vi-VN"/>
        </w:rPr>
      </w:pPr>
      <w:r w:rsidRPr="009C54C4">
        <w:rPr>
          <w:rFonts w:ascii="Times New Roman" w:hAnsi="Times New Roman" w:cs="Times New Roman"/>
          <w:b/>
          <w:color w:val="000000" w:themeColor="text1"/>
          <w:sz w:val="28"/>
          <w:szCs w:val="28"/>
          <w:lang w:val="vi-VN"/>
        </w:rPr>
        <w:t>3</w:t>
      </w:r>
      <w:r w:rsidRPr="009C54C4">
        <w:rPr>
          <w:rFonts w:ascii="Times New Roman" w:hAnsi="Times New Roman" w:cs="Times New Roman"/>
          <w:b/>
          <w:color w:val="000000" w:themeColor="text1"/>
          <w:sz w:val="28"/>
          <w:szCs w:val="28"/>
          <w:lang w:val="vi-VN"/>
        </w:rPr>
        <w:t>. Năng lực chịu trách nhiệm bồi thường thiệt hại ngoài hợp đồng</w:t>
      </w:r>
    </w:p>
    <w:p w14:paraId="00432D83" w14:textId="3ACE79E8"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3</w:t>
      </w:r>
      <w:r w:rsidRPr="009C54C4">
        <w:rPr>
          <w:rFonts w:ascii="Times New Roman" w:hAnsi="Times New Roman" w:cs="Times New Roman"/>
          <w:color w:val="000000" w:themeColor="text1"/>
          <w:sz w:val="28"/>
          <w:szCs w:val="28"/>
          <w:lang w:val="vi-VN"/>
        </w:rPr>
        <w:t>.1. Năng lực chịu trách nhiệm bồi thường thiệt hại của cá nhân</w:t>
      </w:r>
    </w:p>
    <w:p w14:paraId="1F2A98F8" w14:textId="437F8335"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Tại Điều 586 Bộ luật Dân sự 2015, năng lực chịu trách nhiệm bồi thường thiệt hại của cá nhân được quy định như sau:</w:t>
      </w:r>
    </w:p>
    <w:p w14:paraId="36D3E6E9" w14:textId="344E8636"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Người từ đủ 18 trở lên gây thiệt hại thì phải tự bồi thường.</w:t>
      </w:r>
    </w:p>
    <w:p w14:paraId="2607BB87" w14:textId="5A3EBFBC"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xml:space="preserve">- Người chưa đủ 15 tuổi gây thiệt hại mà còn cha, mẹ thì cha, mẹ phải bồi thường toàn bộ thiệt hại; </w:t>
      </w:r>
    </w:p>
    <w:p w14:paraId="72B0E4C6" w14:textId="7CBF842D"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Nếu tài sản của cha, mẹ không đủ để bồi thường mà con chưa thành niên gây thiệt hại có tài sản riêng thì lấy tài sản đó để bồi thường phần còn thiếu, trừ trường hợp quy định tại Điều 599 Bộ luật Dân sự 2015.</w:t>
      </w:r>
    </w:p>
    <w:p w14:paraId="0FCD300D" w14:textId="4E325A50"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lastRenderedPageBreak/>
        <w:t>- Người từ đủ 15 tuổi đến chưa đủ 18 tuổi gây thiệt hại thì phải bồi thường bằng tài sản của mình; nếu không đủ tài sản để bồi thường thì cha, mẹ phải bồi thường phần còn thiếu bằng tài sản của mình.</w:t>
      </w:r>
    </w:p>
    <w:p w14:paraId="51394CD4" w14:textId="49AEB3BE"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Người chưa thành niên, người mất năng lực hành vi dân sự, người có khó khăn trong nhận thức, làm chủ hành vi gây thiệt hại mà có người giám hộ thì người giám hộ đó được dùng tài sản của người được giám hộ để bồi thường;</w:t>
      </w:r>
    </w:p>
    <w:p w14:paraId="60295E27" w14:textId="0EE0306E"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Nếu người được giám hộ không có tài sản hoặc không đủ tài sản để bồi thường thì người giám hộ phải bồi thường bằng tài sản của mình; nếu người giám hộ chứng minh được mình không có lỗi trong việc giám hộ thì không phải lấy tài sản của mình để bồi thường.</w:t>
      </w:r>
    </w:p>
    <w:p w14:paraId="2E0DE75E" w14:textId="6E07AC28"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3</w:t>
      </w:r>
      <w:r w:rsidRPr="009C54C4">
        <w:rPr>
          <w:rFonts w:ascii="Times New Roman" w:hAnsi="Times New Roman" w:cs="Times New Roman"/>
          <w:color w:val="000000" w:themeColor="text1"/>
          <w:sz w:val="28"/>
          <w:szCs w:val="28"/>
          <w:lang w:val="vi-VN"/>
        </w:rPr>
        <w:t>.2. Bồi thường thiệt hại do nhiều người cùng gây ra</w:t>
      </w:r>
    </w:p>
    <w:p w14:paraId="390D6C08" w14:textId="3918FE4A"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xml:space="preserve">Căn cứ theo Điều 587 Bộ luật Dân sự 2015: Trường hợp nhiều người cùng gây thiệt hại thì những người đó phải liên đới bồi thường cho người bị thiệt hại. </w:t>
      </w:r>
    </w:p>
    <w:p w14:paraId="4B96ECF9" w14:textId="7E41B065"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xml:space="preserve">- Trách nhiệm bồi thường của từng người cùng gây thiệt hại được xác định tương ứng với mức độ lỗi của mỗi người; </w:t>
      </w:r>
    </w:p>
    <w:p w14:paraId="4B56A01B" w14:textId="32478EE5" w:rsidR="009C54C4" w:rsidRP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 Nếu không xác định được mức độ lỗi thì họ phải bồi thường thiệt hại theo phần bằng nhau.</w:t>
      </w:r>
    </w:p>
    <w:p w14:paraId="5548FCF4" w14:textId="23A5DCFA" w:rsidR="009C54C4" w:rsidRPr="009C54C4" w:rsidRDefault="009C54C4" w:rsidP="009C54C4">
      <w:pPr>
        <w:ind w:firstLine="709"/>
        <w:jc w:val="both"/>
        <w:rPr>
          <w:rFonts w:ascii="Times New Roman" w:hAnsi="Times New Roman" w:cs="Times New Roman"/>
          <w:b/>
          <w:color w:val="000000" w:themeColor="text1"/>
          <w:sz w:val="28"/>
          <w:szCs w:val="28"/>
          <w:lang w:val="vi-VN"/>
        </w:rPr>
      </w:pPr>
      <w:r w:rsidRPr="009C54C4">
        <w:rPr>
          <w:rFonts w:ascii="Times New Roman" w:hAnsi="Times New Roman" w:cs="Times New Roman"/>
          <w:b/>
          <w:color w:val="000000" w:themeColor="text1"/>
          <w:sz w:val="28"/>
          <w:szCs w:val="28"/>
          <w:lang w:val="vi-VN"/>
        </w:rPr>
        <w:t>4</w:t>
      </w:r>
      <w:r w:rsidRPr="009C54C4">
        <w:rPr>
          <w:rFonts w:ascii="Times New Roman" w:hAnsi="Times New Roman" w:cs="Times New Roman"/>
          <w:b/>
          <w:color w:val="000000" w:themeColor="text1"/>
          <w:sz w:val="28"/>
          <w:szCs w:val="28"/>
          <w:lang w:val="vi-VN"/>
        </w:rPr>
        <w:t>. Thời hiệu khởi kiện yêu cầu bồi thường thiệt hại ngoài hợp đồng</w:t>
      </w:r>
    </w:p>
    <w:p w14:paraId="1B220DA0" w14:textId="1C138044" w:rsidR="009C54C4" w:rsidRDefault="009C54C4" w:rsidP="009C54C4">
      <w:pPr>
        <w:ind w:firstLine="709"/>
        <w:jc w:val="both"/>
        <w:rPr>
          <w:rFonts w:ascii="Times New Roman" w:hAnsi="Times New Roman" w:cs="Times New Roman"/>
          <w:color w:val="000000" w:themeColor="text1"/>
          <w:sz w:val="28"/>
          <w:szCs w:val="28"/>
          <w:lang w:val="vi-VN"/>
        </w:rPr>
      </w:pPr>
      <w:r w:rsidRPr="009C54C4">
        <w:rPr>
          <w:rFonts w:ascii="Times New Roman" w:hAnsi="Times New Roman" w:cs="Times New Roman"/>
          <w:color w:val="000000" w:themeColor="text1"/>
          <w:sz w:val="28"/>
          <w:szCs w:val="28"/>
          <w:lang w:val="vi-VN"/>
        </w:rPr>
        <w:t>Tại Điều 588 Bộ luật Dân sự 2015, quy định thời hiệu khởi kiện yêu cầu bồi thường thiệt hại là 03 năm, kể từ ngày người có quyền yêu cầu biết hoặc phải biết quyền, lợi ích hợp pháp của mình bị xâm phạm.</w:t>
      </w:r>
    </w:p>
    <w:p w14:paraId="6F004E58" w14:textId="6730648B" w:rsidR="0090386A" w:rsidRPr="0090386A" w:rsidRDefault="0090386A" w:rsidP="0090386A">
      <w:pPr>
        <w:ind w:firstLine="709"/>
        <w:jc w:val="both"/>
        <w:rPr>
          <w:rFonts w:ascii="Times New Roman" w:hAnsi="Times New Roman" w:cs="Times New Roman"/>
          <w:b/>
          <w:color w:val="000000" w:themeColor="text1"/>
          <w:sz w:val="28"/>
          <w:szCs w:val="28"/>
          <w:lang w:val="vi-VN"/>
        </w:rPr>
      </w:pPr>
      <w:r w:rsidRPr="0090386A">
        <w:rPr>
          <w:rFonts w:ascii="Times New Roman" w:hAnsi="Times New Roman" w:cs="Times New Roman"/>
          <w:b/>
          <w:color w:val="000000" w:themeColor="text1"/>
          <w:sz w:val="28"/>
          <w:szCs w:val="28"/>
          <w:lang w:val="vi-VN"/>
        </w:rPr>
        <w:t>CÁCH MẠNG CÔNG NGHIỆP LẦN THỨ TƯ</w:t>
      </w:r>
    </w:p>
    <w:p w14:paraId="66C6F78B" w14:textId="2A42E19C" w:rsidR="0090386A" w:rsidRPr="0090386A" w:rsidRDefault="0090386A" w:rsidP="0090386A">
      <w:pPr>
        <w:ind w:firstLine="709"/>
        <w:jc w:val="both"/>
        <w:rPr>
          <w:rFonts w:ascii="Times New Roman" w:hAnsi="Times New Roman" w:cs="Times New Roman"/>
          <w:color w:val="000000" w:themeColor="text1"/>
          <w:sz w:val="28"/>
          <w:szCs w:val="28"/>
          <w:lang w:val="vi-VN"/>
        </w:rPr>
      </w:pPr>
      <w:r w:rsidRPr="0090386A">
        <w:rPr>
          <w:rFonts w:ascii="Times New Roman" w:hAnsi="Times New Roman" w:cs="Times New Roman"/>
          <w:color w:val="000000" w:themeColor="text1"/>
          <w:sz w:val="28"/>
          <w:szCs w:val="28"/>
          <w:lang w:val="vi-VN"/>
        </w:rPr>
        <w:t>Cách mạng công nghiệp lần thứ tư (CMCN 4.0) triển khai với nền tảng là chuyển đổi số và đổi mới sáng tạo thường gọi là Thời đại 4.0 hay kỷ nguyên số, là khoảng thời gian và không gian trong đó Cách Mạng Công Nghiệp lần thứ 4 tác động rất lớn đến nhiều lĩnh vực trong xã hội. Trong đó hình thành xã hội số, môi trường số, kinh tế số, Chính phủ số...</w:t>
      </w:r>
    </w:p>
    <w:p w14:paraId="592C7257" w14:textId="5E6D82E1" w:rsidR="0090386A" w:rsidRPr="0090386A" w:rsidRDefault="0090386A" w:rsidP="0090386A">
      <w:pPr>
        <w:ind w:firstLine="709"/>
        <w:jc w:val="both"/>
        <w:rPr>
          <w:rFonts w:ascii="Times New Roman" w:hAnsi="Times New Roman" w:cs="Times New Roman"/>
          <w:color w:val="000000" w:themeColor="text1"/>
          <w:sz w:val="28"/>
          <w:szCs w:val="28"/>
          <w:lang w:val="vi-VN"/>
        </w:rPr>
      </w:pPr>
      <w:r w:rsidRPr="0090386A">
        <w:rPr>
          <w:rFonts w:ascii="Times New Roman" w:hAnsi="Times New Roman" w:cs="Times New Roman"/>
          <w:color w:val="000000" w:themeColor="text1"/>
          <w:sz w:val="28"/>
          <w:szCs w:val="28"/>
          <w:lang w:val="vi-VN"/>
        </w:rPr>
        <w:t>Chuyển đổi số trên thế giới phát triển từ năm 2017, tại Việt Nam chuyển đổi số bước đầu khởi động từ năm 2018 và được Thủ tướng Chính phủ phê duyệt Chương trình Chuyển đổi số quốc gia ngày 03/06/2020.</w:t>
      </w:r>
    </w:p>
    <w:p w14:paraId="2DF35854" w14:textId="3C051DB9" w:rsidR="0090386A" w:rsidRPr="0090386A" w:rsidRDefault="0090386A" w:rsidP="0090386A">
      <w:pPr>
        <w:ind w:firstLine="709"/>
        <w:jc w:val="both"/>
        <w:rPr>
          <w:rFonts w:ascii="Times New Roman" w:hAnsi="Times New Roman" w:cs="Times New Roman"/>
          <w:color w:val="000000" w:themeColor="text1"/>
          <w:sz w:val="28"/>
          <w:szCs w:val="28"/>
          <w:lang w:val="vi-VN"/>
        </w:rPr>
      </w:pPr>
      <w:r w:rsidRPr="0090386A">
        <w:rPr>
          <w:rFonts w:ascii="Times New Roman" w:hAnsi="Times New Roman" w:cs="Times New Roman"/>
          <w:color w:val="000000" w:themeColor="text1"/>
          <w:sz w:val="28"/>
          <w:szCs w:val="28"/>
          <w:lang w:val="vi-VN"/>
        </w:rPr>
        <w:lastRenderedPageBreak/>
        <w:t xml:space="preserve">Cách mạng công nghiệp lần 1 sử dụng năng lượng nước và hơi nước để cơ giới hóa sản xuất. Cuộc cách mạng lần 2 diễn ra nhờ ứng dụng điện năng để sản xuất hàng loạt. Cuộc cách mạng lần 3 sử dụng điện tử và công nghệ thông tin để tự động hóa sản xuất, thường gọi là cách mạng kỹ thuật số, là sự khởi đầu của kỷ nguyên thông tin, số hóa quy trình đã có theo mô hình hoạt động đã có để cung cấp dịch vụ đã có, hệ thống máy tính và lưu trữ hồ sơ kỹ thuật số xuất hiện ở cuộc cách mạng này vẫn được áp dụng đến ngày nay. </w:t>
      </w:r>
    </w:p>
    <w:p w14:paraId="1B5F9AFF" w14:textId="2DD769DD" w:rsidR="0090386A" w:rsidRPr="0090386A" w:rsidRDefault="0090386A" w:rsidP="0090386A">
      <w:pPr>
        <w:ind w:firstLine="709"/>
        <w:jc w:val="both"/>
        <w:rPr>
          <w:rFonts w:ascii="Times New Roman" w:hAnsi="Times New Roman" w:cs="Times New Roman"/>
          <w:color w:val="000000" w:themeColor="text1"/>
          <w:sz w:val="28"/>
          <w:szCs w:val="28"/>
          <w:lang w:val="vi-VN"/>
        </w:rPr>
      </w:pPr>
      <w:r w:rsidRPr="0090386A">
        <w:rPr>
          <w:rFonts w:ascii="Times New Roman" w:hAnsi="Times New Roman" w:cs="Times New Roman"/>
          <w:color w:val="000000" w:themeColor="text1"/>
          <w:sz w:val="28"/>
          <w:szCs w:val="28"/>
          <w:lang w:val="vi-VN"/>
        </w:rPr>
        <w:t xml:space="preserve">Cuộc Cách mạng Công nghiệp thứ 4 phát triển từ cuộc cách mạng công nghiệp lần 3, trên nền tảng chuyển đổi số và đổi mới sáng tạo, kết hợp các công nghệ lại với nhau (Điện toán đám mây Cloud, dữ liệu lớn Big Data, trí tuệ nhân tạo A.I, chuỗi khối Blog chain, Internet vạn vật IoT, thực tế ảo VR.....) làm mờ ranh giới giữa vật lý, kỹ thuật số và sinh học. Số hóa toàn bộ cả một tổ chức, thay đổi quy trình mới với mô hình tổ chức mới, với phương thức cung cấp dịch vụ mới. </w:t>
      </w:r>
    </w:p>
    <w:p w14:paraId="04C60DEF" w14:textId="73A220F6" w:rsidR="0090386A" w:rsidRPr="0090386A" w:rsidRDefault="0090386A" w:rsidP="0090386A">
      <w:pPr>
        <w:ind w:firstLine="709"/>
        <w:jc w:val="both"/>
        <w:rPr>
          <w:rFonts w:ascii="Times New Roman" w:hAnsi="Times New Roman" w:cs="Times New Roman"/>
          <w:color w:val="000000" w:themeColor="text1"/>
          <w:sz w:val="28"/>
          <w:szCs w:val="28"/>
          <w:lang w:val="vi-VN"/>
        </w:rPr>
      </w:pPr>
      <w:r w:rsidRPr="0090386A">
        <w:rPr>
          <w:rFonts w:ascii="Times New Roman" w:hAnsi="Times New Roman" w:cs="Times New Roman"/>
          <w:color w:val="000000" w:themeColor="text1"/>
          <w:sz w:val="28"/>
          <w:szCs w:val="28"/>
          <w:lang w:val="vi-VN"/>
        </w:rPr>
        <w:t>Đặc biệt ứng dụng Chat GPT - 3.5 (Generative pre-training transformer), một Chatbot do công ty khởi nghiệp OpenAI phát triển có kho kiến thức mà Chat GPT đã học được trong một thời gian dài để hoàn thiện, có thể trò chuyện, trả lời lưu loát đầy đủ các câu hỏi được đưa ra, bất kể là thắc mắc về lĩnh vực gì, với sự hiểu biết trong nhiều lĩnh vực do thu thập dữ liệu trên không gian mạng, các câu hỏi thắc mắc của người sử dụng đã được trả lời chỉ sau vài giây.</w:t>
      </w:r>
    </w:p>
    <w:p w14:paraId="5A103D24" w14:textId="6128C1DD" w:rsidR="0090386A" w:rsidRPr="0090386A" w:rsidRDefault="0090386A" w:rsidP="0090386A">
      <w:pPr>
        <w:ind w:firstLine="709"/>
        <w:jc w:val="both"/>
        <w:rPr>
          <w:rFonts w:ascii="Times New Roman" w:hAnsi="Times New Roman" w:cs="Times New Roman"/>
          <w:color w:val="000000" w:themeColor="text1"/>
          <w:sz w:val="28"/>
          <w:szCs w:val="28"/>
          <w:lang w:val="vi-VN"/>
        </w:rPr>
      </w:pPr>
      <w:r w:rsidRPr="0090386A">
        <w:rPr>
          <w:rFonts w:ascii="Times New Roman" w:hAnsi="Times New Roman" w:cs="Times New Roman"/>
          <w:color w:val="000000" w:themeColor="text1"/>
          <w:sz w:val="28"/>
          <w:szCs w:val="28"/>
          <w:lang w:val="vi-VN"/>
        </w:rPr>
        <w:t>Hiện nay Chat GPT-4 đa phương thức đã ra mắt để tạo ra văn bản và hoạt động ở cấp độ con người (human level) với chất lượng đáp ứng nhu cầu người sử dụng hiệu quả hơn.</w:t>
      </w:r>
    </w:p>
    <w:p w14:paraId="332C7543" w14:textId="183FB0C7" w:rsidR="006B1FE4" w:rsidRDefault="0090386A" w:rsidP="0090386A">
      <w:pPr>
        <w:ind w:firstLine="709"/>
        <w:jc w:val="both"/>
        <w:rPr>
          <w:rFonts w:ascii="Times New Roman" w:hAnsi="Times New Roman" w:cs="Times New Roman"/>
          <w:color w:val="000000" w:themeColor="text1"/>
          <w:sz w:val="28"/>
          <w:szCs w:val="28"/>
          <w:lang w:val="vi-VN"/>
        </w:rPr>
      </w:pPr>
      <w:r w:rsidRPr="0090386A">
        <w:rPr>
          <w:rFonts w:ascii="Times New Roman" w:hAnsi="Times New Roman" w:cs="Times New Roman"/>
          <w:color w:val="000000" w:themeColor="text1"/>
          <w:sz w:val="28"/>
          <w:szCs w:val="28"/>
          <w:lang w:val="vi-VN"/>
        </w:rPr>
        <w:t xml:space="preserve">Cách </w:t>
      </w:r>
      <w:r w:rsidRPr="0090386A">
        <w:rPr>
          <w:rFonts w:ascii="Times New Roman" w:hAnsi="Times New Roman" w:cs="Times New Roman"/>
          <w:color w:val="000000" w:themeColor="text1"/>
          <w:sz w:val="28"/>
          <w:szCs w:val="28"/>
          <w:lang w:val="vi-VN"/>
        </w:rPr>
        <w:t>m</w:t>
      </w:r>
      <w:r w:rsidRPr="0090386A">
        <w:rPr>
          <w:rFonts w:ascii="Times New Roman" w:hAnsi="Times New Roman" w:cs="Times New Roman"/>
          <w:color w:val="000000" w:themeColor="text1"/>
          <w:sz w:val="28"/>
          <w:szCs w:val="28"/>
          <w:lang w:val="vi-VN"/>
        </w:rPr>
        <w:t xml:space="preserve">ạng Công </w:t>
      </w:r>
      <w:r w:rsidRPr="0090386A">
        <w:rPr>
          <w:rFonts w:ascii="Times New Roman" w:hAnsi="Times New Roman" w:cs="Times New Roman"/>
          <w:color w:val="000000" w:themeColor="text1"/>
          <w:sz w:val="28"/>
          <w:szCs w:val="28"/>
          <w:lang w:val="vi-VN"/>
        </w:rPr>
        <w:t>n</w:t>
      </w:r>
      <w:r w:rsidRPr="0090386A">
        <w:rPr>
          <w:rFonts w:ascii="Times New Roman" w:hAnsi="Times New Roman" w:cs="Times New Roman"/>
          <w:color w:val="000000" w:themeColor="text1"/>
          <w:sz w:val="28"/>
          <w:szCs w:val="28"/>
          <w:lang w:val="vi-VN"/>
        </w:rPr>
        <w:t>ghiệp lần thứ 4 đã tác động sâu rộng đến mọi lĩnh vực như: Quản lý nhà nước, pháp luật, sản xuất kinh doanh, xuất nhập khẩu, thị trường lao động, giáo dục, an ninh quốc phòng, nguồn nhân lực, việc làm và các lĩnh vực khác của xã hội. Tác động đến các chủ thể là nhà nước, người dân, doanh nghiệp và các tổ chức, cá nhân trong xã hội. Ảnh hưởng liên quan đến mọi cấp độ quốc tế; khu vực, quốc gia, địa phương, liên quốc gia, xuyên quốc gia…</w:t>
      </w:r>
    </w:p>
    <w:p w14:paraId="7E8AE17D" w14:textId="4056DE3D" w:rsidR="006B1FE4" w:rsidRPr="006B1FE4" w:rsidRDefault="006B1FE4" w:rsidP="006B1FE4">
      <w:pPr>
        <w:ind w:firstLine="709"/>
        <w:jc w:val="both"/>
        <w:rPr>
          <w:rFonts w:ascii="Times New Roman" w:hAnsi="Times New Roman" w:cs="Times New Roman"/>
          <w:b/>
          <w:color w:val="000000" w:themeColor="text1"/>
          <w:sz w:val="28"/>
          <w:szCs w:val="28"/>
          <w:lang w:val="vi-VN"/>
        </w:rPr>
      </w:pPr>
      <w:r w:rsidRPr="006B1FE4">
        <w:rPr>
          <w:rFonts w:ascii="Times New Roman" w:hAnsi="Times New Roman" w:cs="Times New Roman"/>
          <w:b/>
          <w:color w:val="000000" w:themeColor="text1"/>
          <w:sz w:val="28"/>
          <w:szCs w:val="28"/>
          <w:lang w:val="vi-VN"/>
        </w:rPr>
        <w:t>PHÁP LUẬT TRONG BỐI CẢNH CÔNG NGHỆ 4.0</w:t>
      </w:r>
    </w:p>
    <w:p w14:paraId="0C717112" w14:textId="5F988ECB" w:rsidR="006B1FE4" w:rsidRPr="006B1FE4" w:rsidRDefault="006B1FE4" w:rsidP="006B1FE4">
      <w:pPr>
        <w:ind w:firstLine="709"/>
        <w:jc w:val="both"/>
        <w:rPr>
          <w:rFonts w:ascii="Times New Roman" w:hAnsi="Times New Roman" w:cs="Times New Roman"/>
          <w:color w:val="000000" w:themeColor="text1"/>
          <w:sz w:val="28"/>
          <w:szCs w:val="28"/>
          <w:lang w:val="vi-VN"/>
        </w:rPr>
      </w:pPr>
      <w:r w:rsidRPr="006B1FE4">
        <w:rPr>
          <w:rFonts w:ascii="Times New Roman" w:hAnsi="Times New Roman" w:cs="Times New Roman"/>
          <w:color w:val="000000" w:themeColor="text1"/>
          <w:sz w:val="28"/>
          <w:szCs w:val="28"/>
          <w:lang w:val="vi-VN"/>
        </w:rPr>
        <w:t xml:space="preserve">Giữa pháp luật và khoa học – công nghệ có nhiều tác động qua lại. Có ý kiến cho rằng, một trong những lý do dẫn đến cần phải cải cách pháp luật nói chung là khi có sự ra đời của công nghệ mới mà pháp luật hiện hành không đủ khả năng điều tiết. Công nghệ phát triển làm nên cuộc cách mạng của pháp luật, </w:t>
      </w:r>
      <w:r w:rsidRPr="006B1FE4">
        <w:rPr>
          <w:rFonts w:ascii="Times New Roman" w:hAnsi="Times New Roman" w:cs="Times New Roman"/>
          <w:color w:val="000000" w:themeColor="text1"/>
          <w:sz w:val="28"/>
          <w:szCs w:val="28"/>
          <w:lang w:val="vi-VN"/>
        </w:rPr>
        <w:lastRenderedPageBreak/>
        <w:t>thậm chí làm mất cả nền tảng của pháp luật. Sự trở lại của công nghệ hiện nay là do chúng ta đang sống giữa thời điểm cao trào của cuộc cách mạng công nghiệp 4.0 đang diễn ra trên thế giới.</w:t>
      </w:r>
    </w:p>
    <w:p w14:paraId="0F421B5E" w14:textId="7AAAEA45" w:rsidR="006B1FE4" w:rsidRPr="006B1FE4" w:rsidRDefault="006B1FE4" w:rsidP="006B1FE4">
      <w:pPr>
        <w:ind w:firstLine="709"/>
        <w:jc w:val="both"/>
        <w:rPr>
          <w:rFonts w:ascii="Times New Roman" w:hAnsi="Times New Roman" w:cs="Times New Roman"/>
          <w:color w:val="000000" w:themeColor="text1"/>
          <w:sz w:val="28"/>
          <w:szCs w:val="28"/>
          <w:lang w:val="vi-VN"/>
        </w:rPr>
      </w:pPr>
      <w:r w:rsidRPr="006B1FE4">
        <w:rPr>
          <w:rFonts w:ascii="Times New Roman" w:hAnsi="Times New Roman" w:cs="Times New Roman"/>
          <w:color w:val="000000" w:themeColor="text1"/>
          <w:sz w:val="28"/>
          <w:szCs w:val="28"/>
          <w:lang w:val="vi-VN"/>
        </w:rPr>
        <w:t>Lịch sử loài người đã trải qua ba cuộc cách mạng công nghiệp lớn với những phát minh then chốt làm thay đổi hoàn toàn nhận thức của toàn nhân loại như: phát minh ra động cơ hơi nước, động cơ điện, điện tử, máy tính kỹ thuật số,… Đầu thế kỷ XXI, chúng ta chứng kiến thêm một cuộc cách mạng công nghiệp có ảnh hưởng to lớn và toàn diện đến nhiều mặt của cuộc sống, đó là cuộc cách mạng công nghiệp 4.0. Cách mạng công nghiệp 4.0 là sự hợp nhất các công nghiệp, làm mờ đi ranh giới giữa các lĩnh vực vật lý, kỹ thuật số và sinh học. Cuộc cách mạng này đã phát triển thành các xu hướng công nghiệp lớn và ngày càng trở nên phổ biến trong đời sống xã hội hiện nay như Internet vạn vật, trí tuệ nhân tạo, người máy, điện toán đám mây, dữ liệu lớn, công nghệ in 3D, thiết bị tự lái, công nghệ chuỗi khối,…</w:t>
      </w:r>
    </w:p>
    <w:p w14:paraId="1994B5D7" w14:textId="7AEBC65D" w:rsidR="006B1FE4" w:rsidRPr="006B1FE4" w:rsidRDefault="006B1FE4" w:rsidP="006B1FE4">
      <w:pPr>
        <w:ind w:firstLine="709"/>
        <w:jc w:val="both"/>
        <w:rPr>
          <w:rFonts w:ascii="Times New Roman" w:hAnsi="Times New Roman" w:cs="Times New Roman"/>
          <w:color w:val="000000" w:themeColor="text1"/>
          <w:sz w:val="28"/>
          <w:szCs w:val="28"/>
          <w:lang w:val="vi-VN"/>
        </w:rPr>
      </w:pPr>
      <w:r w:rsidRPr="006B1FE4">
        <w:rPr>
          <w:rFonts w:ascii="Times New Roman" w:hAnsi="Times New Roman" w:cs="Times New Roman"/>
          <w:color w:val="000000" w:themeColor="text1"/>
          <w:sz w:val="28"/>
          <w:szCs w:val="28"/>
          <w:lang w:val="vi-VN"/>
        </w:rPr>
        <w:t>Cách mạng công nghiệp 4.0 đang làm biến đổi phương thức sống của con người. Những thay đổi đột phá về khoa học và công nghệ trong cuộc cách mạng công nghiệp 4.0 dẫn tới thay đổi mạnh mẽ về cơ cấu, mô hình kinh tế, hệ thống quản lý nhà nước, xã hội cũng như hệ thống pháp luật ở mỗi quốc gia. Hoạt động xây dựng và áp dụng pháp luật theo các phương thức truyền thống đang bị tác động sâu sắc bởi cuộc cách mạng công nghiệp 4.0. Hơn nữa, trong khoa học pháp lý Việt Nam mới chỉ có rất ít các công trình nghiên cứu về Luật Dân sự trong bối cảnh cuộc cách mạng công nghiệp 4.0. Trong khi đó, Luật Dân sự Việt Nam hiện nay mới chỉ manh nha tiếp cận ở mức khiêm tốn một số thành tựu của cuộc cách mạng công nghiệp 4.0, chưa mang tính hệ thống và còn nhiều bất cập.</w:t>
      </w:r>
    </w:p>
    <w:p w14:paraId="60D4C159" w14:textId="4225DD03" w:rsidR="00C0426D" w:rsidRPr="0080689F" w:rsidRDefault="006B1FE4" w:rsidP="006B1FE4">
      <w:pPr>
        <w:ind w:firstLine="709"/>
        <w:jc w:val="both"/>
        <w:rPr>
          <w:rFonts w:ascii="Times New Roman" w:hAnsi="Times New Roman" w:cs="Times New Roman"/>
          <w:color w:val="000000" w:themeColor="text1"/>
          <w:sz w:val="28"/>
          <w:szCs w:val="28"/>
          <w:lang w:val="vi-VN"/>
        </w:rPr>
      </w:pPr>
      <w:r w:rsidRPr="006B1FE4">
        <w:rPr>
          <w:rFonts w:ascii="Times New Roman" w:hAnsi="Times New Roman" w:cs="Times New Roman"/>
          <w:color w:val="000000" w:themeColor="text1"/>
          <w:sz w:val="28"/>
          <w:szCs w:val="28"/>
          <w:lang w:val="vi-VN"/>
        </w:rPr>
        <w:t xml:space="preserve">Cách mạng công nghiệp 4.0 với khuynh hướng phát triển như hiện nay đã bắt đầu và sẽ thúc đẩy sự cải cách của tất cả các ngành luật như Luật Hiến pháp, Luật Hành chính, Luật Hình sự, Luật Thương mại, Luật Lao động, Luật Tài chính… và Luật Dân sự cũng không phải là ngoại lệ. Là một ngành luật quan trọng trong hệ thống pháp luật nước ta, Luật Dân sự bao gồm tổng thể các quy phạm pháp luật điều chỉnh các quan hệ nhân thân và quan hệ tài sản giữa các chủ thể được hình thành trên cơ sở bình đẳng, tự do ý chí, độc lập về tài sản và tự chịu trách nhiệm. Với các công nghệ mang tính đột phá, cách mạng công nghiệp 4.0 đang đặt ra nhiều vấn đề pháp lý mới, vừa là cơ hội, vừa là thách thức liên quan đến ngành Luật Dân sự, gây sự quan tâm, chú ý của giới luật học như: Quyền của cá nhân đối với hình ảnh, quyền về đời sống riêng tư, bí mật cá nhân, bí mật gia đình, bảo hộ quyền sở hữu trí tuệ, tiền điện tử, tài sản ảo, tiền ảo (tiền mã hóa), </w:t>
      </w:r>
      <w:r w:rsidRPr="006B1FE4">
        <w:rPr>
          <w:rFonts w:ascii="Times New Roman" w:hAnsi="Times New Roman" w:cs="Times New Roman"/>
          <w:color w:val="000000" w:themeColor="text1"/>
          <w:sz w:val="28"/>
          <w:szCs w:val="28"/>
          <w:lang w:val="vi-VN"/>
        </w:rPr>
        <w:lastRenderedPageBreak/>
        <w:t>hợp đồng điện tử, hợp đồng thông minh, bồi thường thiệt hại ngoài hợp đồng… đòi hỏi phải có sự nghiên cứu để làm rõ khung nhận thức lý luận, đồng thời đánh giá thực trạng Luật Dân sự Việt Nam hiện hành đã đáp ứng được các yêu cầu của cuộc cách mạng công nghiệp 4.0 ở mức độ nào, từ đó đưa ra các giải pháp xây dựng và hoàn thiện cho phù hợp.</w:t>
      </w:r>
    </w:p>
    <w:sectPr w:rsidR="00C0426D" w:rsidRPr="0080689F" w:rsidSect="00E71244">
      <w:footerReference w:type="default" r:id="rId34"/>
      <w:pgSz w:w="11906" w:h="16838" w:code="9"/>
      <w:pgMar w:top="1418"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25B9FB" w14:textId="77777777" w:rsidR="00486309" w:rsidRDefault="00486309" w:rsidP="00E71244">
      <w:pPr>
        <w:spacing w:after="0" w:line="240" w:lineRule="auto"/>
      </w:pPr>
      <w:r>
        <w:separator/>
      </w:r>
    </w:p>
  </w:endnote>
  <w:endnote w:type="continuationSeparator" w:id="0">
    <w:p w14:paraId="57BB7745" w14:textId="77777777" w:rsidR="00486309" w:rsidRDefault="00486309" w:rsidP="00E71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nherit">
    <w:altName w:val="Cambria"/>
    <w:panose1 w:val="00000000000000000000"/>
    <w:charset w:val="00"/>
    <w:family w:val="roman"/>
    <w:notTrueType/>
    <w:pitch w:val="default"/>
  </w:font>
  <w:font w:name="RR">
    <w:altName w:val="Cambria"/>
    <w:panose1 w:val="00000000000000000000"/>
    <w:charset w:val="00"/>
    <w:family w:val="roman"/>
    <w:notTrueType/>
    <w:pitch w:val="default"/>
  </w:font>
  <w:font w:name="RB">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96878296"/>
      <w:docPartObj>
        <w:docPartGallery w:val="Page Numbers (Bottom of Page)"/>
        <w:docPartUnique/>
      </w:docPartObj>
    </w:sdtPr>
    <w:sdtEndPr>
      <w:rPr>
        <w:noProof/>
      </w:rPr>
    </w:sdtEndPr>
    <w:sdtContent>
      <w:p w14:paraId="405A6081" w14:textId="6345C163" w:rsidR="00B12A04" w:rsidRDefault="00B12A04">
        <w:pPr>
          <w:pStyle w:val="Footer"/>
          <w:jc w:val="center"/>
        </w:pPr>
        <w:r>
          <w:fldChar w:fldCharType="begin"/>
        </w:r>
        <w:r>
          <w:instrText xml:space="preserve"> PAGE   \* MERGEFORMAT </w:instrText>
        </w:r>
        <w:r>
          <w:fldChar w:fldCharType="separate"/>
        </w:r>
        <w:r>
          <w:rPr>
            <w:noProof/>
          </w:rPr>
          <w:t>115</w:t>
        </w:r>
        <w:r>
          <w:rPr>
            <w:noProof/>
          </w:rPr>
          <w:fldChar w:fldCharType="end"/>
        </w:r>
      </w:p>
    </w:sdtContent>
  </w:sdt>
  <w:p w14:paraId="36725CF9" w14:textId="77777777" w:rsidR="00B12A04" w:rsidRDefault="00B12A0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ACF22A" w14:textId="77777777" w:rsidR="00486309" w:rsidRDefault="00486309" w:rsidP="00E71244">
      <w:pPr>
        <w:spacing w:after="0" w:line="240" w:lineRule="auto"/>
      </w:pPr>
      <w:r>
        <w:separator/>
      </w:r>
    </w:p>
  </w:footnote>
  <w:footnote w:type="continuationSeparator" w:id="0">
    <w:p w14:paraId="06E8FB6D" w14:textId="77777777" w:rsidR="00486309" w:rsidRDefault="00486309" w:rsidP="00E712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923CC"/>
    <w:multiLevelType w:val="hybridMultilevel"/>
    <w:tmpl w:val="2D42A9CA"/>
    <w:lvl w:ilvl="0" w:tplc="04090013">
      <w:start w:val="1"/>
      <w:numFmt w:val="upperRoman"/>
      <w:lvlText w:val="%1."/>
      <w:lvlJc w:val="right"/>
      <w:pPr>
        <w:ind w:left="1080" w:hanging="720"/>
      </w:pPr>
      <w:rPr>
        <w:rFonts w:hint="default"/>
        <w:color w:val="37415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A36BCF"/>
    <w:multiLevelType w:val="multilevel"/>
    <w:tmpl w:val="5BAE7F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 w15:restartNumberingAfterBreak="0">
    <w:nsid w:val="2B580871"/>
    <w:multiLevelType w:val="hybridMultilevel"/>
    <w:tmpl w:val="6442B754"/>
    <w:lvl w:ilvl="0" w:tplc="AFC83172">
      <w:start w:val="1"/>
      <w:numFmt w:val="decimal"/>
      <w:lvlText w:val="%1."/>
      <w:lvlJc w:val="left"/>
      <w:pPr>
        <w:ind w:left="720" w:hanging="360"/>
      </w:pPr>
      <w:rPr>
        <w:rFonts w:asciiTheme="minorHAnsi" w:hAnsiTheme="minorHAnsi"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DC2331D"/>
    <w:multiLevelType w:val="hybridMultilevel"/>
    <w:tmpl w:val="0846B7E0"/>
    <w:lvl w:ilvl="0" w:tplc="FC46A18C">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 w15:restartNumberingAfterBreak="0">
    <w:nsid w:val="2FCB4672"/>
    <w:multiLevelType w:val="hybridMultilevel"/>
    <w:tmpl w:val="76AE6B0C"/>
    <w:lvl w:ilvl="0" w:tplc="F62A4A6C">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766EAE"/>
    <w:multiLevelType w:val="hybridMultilevel"/>
    <w:tmpl w:val="B2285DEA"/>
    <w:lvl w:ilvl="0" w:tplc="9CB8DD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5406D1"/>
    <w:multiLevelType w:val="hybridMultilevel"/>
    <w:tmpl w:val="7374B9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2472FD"/>
    <w:multiLevelType w:val="multilevel"/>
    <w:tmpl w:val="481EFD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DE76E65"/>
    <w:multiLevelType w:val="hybridMultilevel"/>
    <w:tmpl w:val="A7723E6E"/>
    <w:lvl w:ilvl="0" w:tplc="AFAA9F5A">
      <w:start w:val="1"/>
      <w:numFmt w:val="decimal"/>
      <w:lvlText w:val="%1."/>
      <w:lvlJc w:val="left"/>
      <w:pPr>
        <w:ind w:left="1080" w:hanging="720"/>
      </w:pPr>
      <w:rPr>
        <w:rFonts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A542331"/>
    <w:multiLevelType w:val="hybridMultilevel"/>
    <w:tmpl w:val="1E3437E2"/>
    <w:lvl w:ilvl="0" w:tplc="2C76292E">
      <w:start w:val="1"/>
      <w:numFmt w:val="bullet"/>
      <w:lvlText w:val="-"/>
      <w:lvlJc w:val="left"/>
      <w:pPr>
        <w:ind w:left="720" w:hanging="360"/>
      </w:pPr>
      <w:rPr>
        <w:rFonts w:ascii="Roboto" w:eastAsia="Times New Roman" w:hAnsi="Roboto"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0D741E"/>
    <w:multiLevelType w:val="hybridMultilevel"/>
    <w:tmpl w:val="4DBA3A26"/>
    <w:lvl w:ilvl="0" w:tplc="75828372">
      <w:start w:val="1"/>
      <w:numFmt w:val="decimal"/>
      <w:lvlText w:val="%1."/>
      <w:lvlJc w:val="left"/>
      <w:pPr>
        <w:ind w:left="720" w:hanging="360"/>
      </w:pPr>
      <w:rPr>
        <w:rFonts w:ascii="inherit" w:hAnsi="inherit" w:cs="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E5E6707"/>
    <w:multiLevelType w:val="hybridMultilevel"/>
    <w:tmpl w:val="81D09FC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9"/>
  </w:num>
  <w:num w:numId="3">
    <w:abstractNumId w:val="2"/>
  </w:num>
  <w:num w:numId="4">
    <w:abstractNumId w:val="8"/>
  </w:num>
  <w:num w:numId="5">
    <w:abstractNumId w:val="1"/>
  </w:num>
  <w:num w:numId="6">
    <w:abstractNumId w:val="7"/>
  </w:num>
  <w:num w:numId="7">
    <w:abstractNumId w:val="6"/>
  </w:num>
  <w:num w:numId="8">
    <w:abstractNumId w:val="5"/>
  </w:num>
  <w:num w:numId="9">
    <w:abstractNumId w:val="10"/>
  </w:num>
  <w:num w:numId="10">
    <w:abstractNumId w:val="4"/>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0F7E"/>
    <w:rsid w:val="000A2965"/>
    <w:rsid w:val="000B0F3D"/>
    <w:rsid w:val="000E166C"/>
    <w:rsid w:val="002345FE"/>
    <w:rsid w:val="0024149C"/>
    <w:rsid w:val="00310F7E"/>
    <w:rsid w:val="003356CD"/>
    <w:rsid w:val="003B5CA5"/>
    <w:rsid w:val="00486309"/>
    <w:rsid w:val="00575417"/>
    <w:rsid w:val="00582C10"/>
    <w:rsid w:val="005C711F"/>
    <w:rsid w:val="005E37EC"/>
    <w:rsid w:val="00631C73"/>
    <w:rsid w:val="006B1FE4"/>
    <w:rsid w:val="007F4610"/>
    <w:rsid w:val="0080689F"/>
    <w:rsid w:val="00842CAF"/>
    <w:rsid w:val="008D4EF2"/>
    <w:rsid w:val="0090386A"/>
    <w:rsid w:val="0093396A"/>
    <w:rsid w:val="009C54C4"/>
    <w:rsid w:val="009D5CA9"/>
    <w:rsid w:val="00A64B8B"/>
    <w:rsid w:val="00A779C3"/>
    <w:rsid w:val="00AA74ED"/>
    <w:rsid w:val="00AF782B"/>
    <w:rsid w:val="00B12A04"/>
    <w:rsid w:val="00BA5301"/>
    <w:rsid w:val="00BE7C8C"/>
    <w:rsid w:val="00C0426D"/>
    <w:rsid w:val="00CE1A36"/>
    <w:rsid w:val="00CF71AC"/>
    <w:rsid w:val="00D226D6"/>
    <w:rsid w:val="00D61E18"/>
    <w:rsid w:val="00DA096E"/>
    <w:rsid w:val="00E71244"/>
    <w:rsid w:val="00ED2EA5"/>
    <w:rsid w:val="00FF0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6AC6F"/>
  <w15:chartTrackingRefBased/>
  <w15:docId w15:val="{E41F17B8-5E90-45C4-B9E4-5938117D3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3B5CA5"/>
    <w:pPr>
      <w:spacing w:before="100" w:beforeAutospacing="1" w:after="100" w:afterAutospacing="1" w:line="240" w:lineRule="auto"/>
      <w:outlineLvl w:val="0"/>
    </w:pPr>
    <w:rPr>
      <w:rFonts w:ascii="Times New Roman" w:eastAsia="Times New Roman" w:hAnsi="Times New Roman" w:cs="Times New Roman"/>
      <w:b/>
      <w:bCs/>
      <w:kern w:val="36"/>
      <w:sz w:val="48"/>
      <w:szCs w:val="48"/>
      <w14:ligatures w14:val="none"/>
    </w:rPr>
  </w:style>
  <w:style w:type="paragraph" w:styleId="Heading2">
    <w:name w:val="heading 2"/>
    <w:basedOn w:val="Normal"/>
    <w:link w:val="Heading2Char"/>
    <w:uiPriority w:val="9"/>
    <w:qFormat/>
    <w:rsid w:val="003356CD"/>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paragraph" w:styleId="Heading3">
    <w:name w:val="heading 3"/>
    <w:basedOn w:val="Normal"/>
    <w:link w:val="Heading3Char"/>
    <w:uiPriority w:val="9"/>
    <w:qFormat/>
    <w:rsid w:val="003356CD"/>
    <w:pPr>
      <w:spacing w:before="100" w:beforeAutospacing="1" w:after="100" w:afterAutospacing="1" w:line="240" w:lineRule="auto"/>
      <w:outlineLvl w:val="2"/>
    </w:pPr>
    <w:rPr>
      <w:rFonts w:ascii="Times New Roman" w:eastAsia="Times New Roman" w:hAnsi="Times New Roman" w:cs="Times New Roman"/>
      <w:b/>
      <w:bCs/>
      <w:kern w:val="0"/>
      <w:sz w:val="27"/>
      <w:szCs w:val="27"/>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56CD"/>
    <w:pPr>
      <w:ind w:left="720"/>
      <w:contextualSpacing/>
    </w:pPr>
  </w:style>
  <w:style w:type="character" w:customStyle="1" w:styleId="Heading2Char">
    <w:name w:val="Heading 2 Char"/>
    <w:basedOn w:val="DefaultParagraphFont"/>
    <w:link w:val="Heading2"/>
    <w:uiPriority w:val="9"/>
    <w:rsid w:val="003356CD"/>
    <w:rPr>
      <w:rFonts w:ascii="Times New Roman" w:eastAsia="Times New Roman" w:hAnsi="Times New Roman" w:cs="Times New Roman"/>
      <w:b/>
      <w:bCs/>
      <w:kern w:val="0"/>
      <w:sz w:val="36"/>
      <w:szCs w:val="36"/>
      <w14:ligatures w14:val="none"/>
    </w:rPr>
  </w:style>
  <w:style w:type="character" w:customStyle="1" w:styleId="Heading3Char">
    <w:name w:val="Heading 3 Char"/>
    <w:basedOn w:val="DefaultParagraphFont"/>
    <w:link w:val="Heading3"/>
    <w:uiPriority w:val="9"/>
    <w:rsid w:val="003356CD"/>
    <w:rPr>
      <w:rFonts w:ascii="Times New Roman" w:eastAsia="Times New Roman" w:hAnsi="Times New Roman" w:cs="Times New Roman"/>
      <w:b/>
      <w:bCs/>
      <w:kern w:val="0"/>
      <w:sz w:val="27"/>
      <w:szCs w:val="27"/>
      <w14:ligatures w14:val="none"/>
    </w:rPr>
  </w:style>
  <w:style w:type="paragraph" w:styleId="NormalWeb">
    <w:name w:val="Normal (Web)"/>
    <w:basedOn w:val="Normal"/>
    <w:uiPriority w:val="99"/>
    <w:semiHidden/>
    <w:unhideWhenUsed/>
    <w:rsid w:val="003356C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3356CD"/>
    <w:rPr>
      <w:color w:val="0000FF"/>
      <w:u w:val="single"/>
    </w:rPr>
  </w:style>
  <w:style w:type="character" w:styleId="Strong">
    <w:name w:val="Strong"/>
    <w:basedOn w:val="DefaultParagraphFont"/>
    <w:uiPriority w:val="22"/>
    <w:qFormat/>
    <w:rsid w:val="003356CD"/>
    <w:rPr>
      <w:b/>
      <w:bCs/>
    </w:rPr>
  </w:style>
  <w:style w:type="character" w:styleId="Emphasis">
    <w:name w:val="Emphasis"/>
    <w:basedOn w:val="DefaultParagraphFont"/>
    <w:uiPriority w:val="20"/>
    <w:qFormat/>
    <w:rsid w:val="003356CD"/>
    <w:rPr>
      <w:i/>
      <w:iCs/>
    </w:rPr>
  </w:style>
  <w:style w:type="character" w:customStyle="1" w:styleId="Heading1Char">
    <w:name w:val="Heading 1 Char"/>
    <w:basedOn w:val="DefaultParagraphFont"/>
    <w:link w:val="Heading1"/>
    <w:uiPriority w:val="9"/>
    <w:rsid w:val="003B5CA5"/>
    <w:rPr>
      <w:rFonts w:ascii="Times New Roman" w:eastAsia="Times New Roman" w:hAnsi="Times New Roman" w:cs="Times New Roman"/>
      <w:b/>
      <w:bCs/>
      <w:kern w:val="36"/>
      <w:sz w:val="48"/>
      <w:szCs w:val="48"/>
      <w14:ligatures w14:val="none"/>
    </w:rPr>
  </w:style>
  <w:style w:type="paragraph" w:styleId="Header">
    <w:name w:val="header"/>
    <w:basedOn w:val="Normal"/>
    <w:link w:val="HeaderChar"/>
    <w:uiPriority w:val="99"/>
    <w:unhideWhenUsed/>
    <w:rsid w:val="00E7124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71244"/>
  </w:style>
  <w:style w:type="paragraph" w:styleId="Footer">
    <w:name w:val="footer"/>
    <w:basedOn w:val="Normal"/>
    <w:link w:val="FooterChar"/>
    <w:uiPriority w:val="99"/>
    <w:unhideWhenUsed/>
    <w:rsid w:val="00E712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71244"/>
  </w:style>
  <w:style w:type="character" w:styleId="UnresolvedMention">
    <w:name w:val="Unresolved Mention"/>
    <w:basedOn w:val="DefaultParagraphFont"/>
    <w:uiPriority w:val="99"/>
    <w:semiHidden/>
    <w:unhideWhenUsed/>
    <w:rsid w:val="000A2965"/>
    <w:rPr>
      <w:color w:val="605E5C"/>
      <w:shd w:val="clear" w:color="auto" w:fill="E1DFDD"/>
    </w:rPr>
  </w:style>
  <w:style w:type="table" w:styleId="TableGrid">
    <w:name w:val="Table Grid"/>
    <w:basedOn w:val="TableNormal"/>
    <w:uiPriority w:val="39"/>
    <w:rsid w:val="006B1F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83620">
      <w:bodyDiv w:val="1"/>
      <w:marLeft w:val="0"/>
      <w:marRight w:val="0"/>
      <w:marTop w:val="0"/>
      <w:marBottom w:val="0"/>
      <w:divBdr>
        <w:top w:val="none" w:sz="0" w:space="0" w:color="auto"/>
        <w:left w:val="none" w:sz="0" w:space="0" w:color="auto"/>
        <w:bottom w:val="none" w:sz="0" w:space="0" w:color="auto"/>
        <w:right w:val="none" w:sz="0" w:space="0" w:color="auto"/>
      </w:divBdr>
    </w:div>
    <w:div w:id="1177042809">
      <w:bodyDiv w:val="1"/>
      <w:marLeft w:val="0"/>
      <w:marRight w:val="0"/>
      <w:marTop w:val="0"/>
      <w:marBottom w:val="0"/>
      <w:divBdr>
        <w:top w:val="none" w:sz="0" w:space="0" w:color="auto"/>
        <w:left w:val="none" w:sz="0" w:space="0" w:color="auto"/>
        <w:bottom w:val="none" w:sz="0" w:space="0" w:color="auto"/>
        <w:right w:val="none" w:sz="0" w:space="0" w:color="auto"/>
      </w:divBdr>
      <w:divsChild>
        <w:div w:id="524368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46550760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84151116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03333288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70858677">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05882858">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40915276">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240331981">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923143894">
          <w:blockQuote w:val="1"/>
          <w:marLeft w:val="0"/>
          <w:marRight w:val="0"/>
          <w:marTop w:val="0"/>
          <w:marBottom w:val="75"/>
          <w:divBdr>
            <w:top w:val="none" w:sz="0" w:space="0" w:color="EF9D20"/>
            <w:left w:val="single" w:sz="24" w:space="9" w:color="EF9D20"/>
            <w:bottom w:val="none" w:sz="0" w:space="0" w:color="EF9D20"/>
            <w:right w:val="none" w:sz="0" w:space="0" w:color="EF9D20"/>
          </w:divBdr>
        </w:div>
        <w:div w:id="1180631165">
          <w:blockQuote w:val="1"/>
          <w:marLeft w:val="0"/>
          <w:marRight w:val="0"/>
          <w:marTop w:val="0"/>
          <w:marBottom w:val="75"/>
          <w:divBdr>
            <w:top w:val="none" w:sz="0" w:space="0" w:color="EF9D20"/>
            <w:left w:val="single" w:sz="24" w:space="9" w:color="EF9D20"/>
            <w:bottom w:val="none" w:sz="0" w:space="0" w:color="EF9D20"/>
            <w:right w:val="none" w:sz="0" w:space="0" w:color="EF9D20"/>
          </w:divBdr>
        </w:div>
      </w:divsChild>
    </w:div>
    <w:div w:id="1956137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huvienphapluat.vn/van-ban/Thuong-mai/Luat-Giao-dich-dien-tu-2005-51-2005-QH11-6922.aspx?anchor=dieu_23" TargetMode="External"/><Relationship Id="rId18" Type="http://schemas.openxmlformats.org/officeDocument/2006/relationships/hyperlink" Target="https://robopravo.ru/initsiativy_frantsii_v_sfierie_robototiekhniki_2013_2" TargetMode="External"/><Relationship Id="rId26" Type="http://schemas.openxmlformats.org/officeDocument/2006/relationships/image" Target="media/image9.jpeg"/><Relationship Id="rId3" Type="http://schemas.openxmlformats.org/officeDocument/2006/relationships/styles" Target="styles.xml"/><Relationship Id="rId21" Type="http://schemas.openxmlformats.org/officeDocument/2006/relationships/image" Target="media/image4.jpeg"/><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thuvienphapluat.vn/phap-luat/tag/chu-ky-so" TargetMode="External"/><Relationship Id="rId17" Type="http://schemas.openxmlformats.org/officeDocument/2006/relationships/hyperlink" Target="https://www.bmwi.de/Redaktion/EN/Publikationen/Digitale-Welt/handbook-regulatory-sandboxes.pdf?__blob=publicationFile&amp;v=2" TargetMode="External"/><Relationship Id="rId25" Type="http://schemas.openxmlformats.org/officeDocument/2006/relationships/image" Target="media/image8.jpeg"/><Relationship Id="rId33" Type="http://schemas.openxmlformats.org/officeDocument/2006/relationships/image" Target="media/image15.jpeg"/><Relationship Id="rId2" Type="http://schemas.openxmlformats.org/officeDocument/2006/relationships/numbering" Target="numbering.xml"/><Relationship Id="rId16" Type="http://schemas.openxmlformats.org/officeDocument/2006/relationships/hyperlink" Target="https://www.bmbf.de/upload_filestore/pub/Research_and_innovation_that_benefit_the_people.pdf" TargetMode="External"/><Relationship Id="rId20" Type="http://schemas.openxmlformats.org/officeDocument/2006/relationships/hyperlink" Target="http://lapphap.vn/Pages/TinTuc/210953/Phuong-thuc-giai-quyet-tranh-chap-truc-tuyen-trong-thuong-mai-dien-tu-tai-Viet-Nam.html" TargetMode="External"/><Relationship Id="rId29" Type="http://schemas.openxmlformats.org/officeDocument/2006/relationships/image" Target="media/image1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Cong-nghe-thong-tin/Nghi-dinh-130-2018-ND-CP-huong-dan-Luat-Giao-dich-dien-tu-ve-chu-ky-so-358259.aspx?anchor=dieu_8" TargetMode="External"/><Relationship Id="rId24" Type="http://schemas.openxmlformats.org/officeDocument/2006/relationships/image" Target="media/image7.jpeg"/><Relationship Id="rId32" Type="http://schemas.openxmlformats.org/officeDocument/2006/relationships/image" Target="media/image14.jpeg"/><Relationship Id="rId5" Type="http://schemas.openxmlformats.org/officeDocument/2006/relationships/webSettings" Target="webSettings.xml"/><Relationship Id="rId15" Type="http://schemas.openxmlformats.org/officeDocument/2006/relationships/hyperlink" Target="https://www.europarl.europa.eu/doceo/document/TA-8-2017-0051_EN.pdf" TargetMode="External"/><Relationship Id="rId23" Type="http://schemas.openxmlformats.org/officeDocument/2006/relationships/image" Target="media/image6.jpeg"/><Relationship Id="rId28" Type="http://schemas.openxmlformats.org/officeDocument/2006/relationships/image" Target="media/image11.jpeg"/><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yperlink" Target="https://banqlkcn.hungyen.gov.vn/portal/VanBan/2023-06/52e2057cc738d57d13_2023_ND-CP%20B%E1%BA%A3o%20v%E1%BB%87%20d%E1%BB%AF%20li%E1%BB%87u%20c%C3%A1%20nh%C3%A2n.doc" TargetMode="External"/><Relationship Id="rId31" Type="http://schemas.openxmlformats.org/officeDocument/2006/relationships/image" Target="media/image1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thuvienphapluat.vn/van-ban/Cong-nghe-thong-tin/Nghi-dinh-130-2018-ND-CP-huong-dan-Luat-Giao-dich-dien-tu-ve-chu-ky-so-358259.aspx?anchor=dieu_9" TargetMode="External"/><Relationship Id="rId22" Type="http://schemas.openxmlformats.org/officeDocument/2006/relationships/image" Target="media/image5.jpeg"/><Relationship Id="rId27" Type="http://schemas.openxmlformats.org/officeDocument/2006/relationships/image" Target="media/image10.jpeg"/><Relationship Id="rId30" Type="http://schemas.openxmlformats.org/officeDocument/2006/relationships/hyperlink" Target="https://tapchitoaan.vn/"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A6C81-0988-453C-9E95-7ABDC6C6F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101</Pages>
  <Words>31532</Words>
  <Characters>179738</Characters>
  <Application>Microsoft Office Word</Application>
  <DocSecurity>0</DocSecurity>
  <Lines>1497</Lines>
  <Paragraphs>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Binh Nguyen Thi Thanh</dc:creator>
  <cp:keywords/>
  <dc:description/>
  <cp:lastModifiedBy>Tuấn Bùi Văn - NS2</cp:lastModifiedBy>
  <cp:revision>17</cp:revision>
  <dcterms:created xsi:type="dcterms:W3CDTF">2023-08-13T09:37:00Z</dcterms:created>
  <dcterms:modified xsi:type="dcterms:W3CDTF">2023-08-22T03:23:00Z</dcterms:modified>
</cp:coreProperties>
</file>